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9479C" w:rsidRDefault="00A15FD1">
      <w:pPr>
        <w:tabs>
          <w:tab w:val="center" w:pos="4536"/>
          <w:tab w:val="right" w:pos="9072"/>
        </w:tabs>
        <w:spacing w:before="120" w:after="120"/>
        <w:rPr>
          <w:b/>
          <w:sz w:val="24"/>
          <w:szCs w:val="24"/>
        </w:rPr>
      </w:pPr>
      <w:r>
        <w:rPr>
          <w:rFonts w:eastAsia="Batang"/>
          <w:b/>
          <w:sz w:val="24"/>
          <w:szCs w:val="24"/>
          <w:lang w:eastAsia="ja-JP"/>
        </w:rPr>
        <w:t>3GPP TSG RAN WG1 #10</w:t>
      </w:r>
      <w:r>
        <w:rPr>
          <w:b/>
          <w:sz w:val="24"/>
          <w:szCs w:val="24"/>
        </w:rPr>
        <w:t>6</w:t>
      </w:r>
      <w:r>
        <w:rPr>
          <w:rFonts w:hint="eastAsia"/>
          <w:b/>
          <w:sz w:val="24"/>
          <w:szCs w:val="24"/>
        </w:rPr>
        <w:t>b</w:t>
      </w:r>
      <w:r>
        <w:rPr>
          <w:rFonts w:eastAsia="Batang"/>
          <w:b/>
          <w:sz w:val="24"/>
          <w:szCs w:val="24"/>
          <w:lang w:eastAsia="ja-JP"/>
        </w:rPr>
        <w:t>-e</w:t>
      </w:r>
      <w:r>
        <w:rPr>
          <w:rFonts w:eastAsia="Batang"/>
          <w:b/>
          <w:sz w:val="24"/>
          <w:szCs w:val="24"/>
          <w:lang w:eastAsia="ja-JP"/>
        </w:rPr>
        <w:tab/>
      </w:r>
      <w:r>
        <w:rPr>
          <w:rFonts w:eastAsia="Batang"/>
          <w:b/>
          <w:sz w:val="24"/>
          <w:szCs w:val="24"/>
          <w:lang w:eastAsia="ja-JP"/>
        </w:rPr>
        <w:tab/>
      </w:r>
      <w:bookmarkStart w:id="0" w:name="OLE_LINK3"/>
      <w:r>
        <w:rPr>
          <w:rFonts w:eastAsia="Batang"/>
          <w:b/>
          <w:sz w:val="24"/>
          <w:szCs w:val="24"/>
          <w:lang w:eastAsia="ja-JP"/>
        </w:rPr>
        <w:t xml:space="preserve">     R1-2108864</w:t>
      </w:r>
      <w:bookmarkEnd w:id="0"/>
    </w:p>
    <w:p w:rsidR="0029479C" w:rsidRDefault="00A15FD1">
      <w:pPr>
        <w:tabs>
          <w:tab w:val="center" w:pos="4536"/>
          <w:tab w:val="right" w:pos="9072"/>
        </w:tabs>
        <w:spacing w:before="120" w:after="120"/>
        <w:rPr>
          <w:rFonts w:eastAsia="Batang"/>
          <w:b/>
          <w:sz w:val="24"/>
          <w:szCs w:val="24"/>
          <w:lang w:eastAsia="ja-JP"/>
        </w:rPr>
      </w:pPr>
      <w:proofErr w:type="gramStart"/>
      <w:r>
        <w:rPr>
          <w:rFonts w:eastAsia="Batang"/>
          <w:b/>
          <w:sz w:val="24"/>
          <w:szCs w:val="24"/>
          <w:lang w:eastAsia="ja-JP"/>
        </w:rPr>
        <w:t>e-Meeting</w:t>
      </w:r>
      <w:proofErr w:type="gramEnd"/>
      <w:r>
        <w:rPr>
          <w:rFonts w:eastAsia="Batang"/>
          <w:b/>
          <w:sz w:val="24"/>
          <w:szCs w:val="24"/>
          <w:lang w:eastAsia="ja-JP"/>
        </w:rPr>
        <w:t xml:space="preserve">, </w:t>
      </w:r>
      <w:r>
        <w:rPr>
          <w:rFonts w:hint="eastAsia"/>
          <w:b/>
          <w:sz w:val="24"/>
          <w:szCs w:val="24"/>
        </w:rPr>
        <w:t>Oct</w:t>
      </w:r>
      <w:r>
        <w:rPr>
          <w:b/>
          <w:sz w:val="24"/>
          <w:szCs w:val="24"/>
        </w:rPr>
        <w:t>.</w:t>
      </w:r>
      <w:r>
        <w:rPr>
          <w:rFonts w:eastAsia="Batang"/>
          <w:b/>
          <w:sz w:val="24"/>
          <w:szCs w:val="24"/>
          <w:lang w:eastAsia="ja-JP"/>
        </w:rPr>
        <w:t xml:space="preserve"> </w:t>
      </w:r>
      <w:r>
        <w:rPr>
          <w:rFonts w:hint="eastAsia"/>
          <w:b/>
          <w:sz w:val="24"/>
          <w:szCs w:val="24"/>
        </w:rPr>
        <w:t>11</w:t>
      </w:r>
      <w:r>
        <w:rPr>
          <w:rFonts w:eastAsia="Batang"/>
          <w:b/>
          <w:sz w:val="24"/>
          <w:szCs w:val="24"/>
          <w:vertAlign w:val="superscript"/>
          <w:lang w:eastAsia="ja-JP"/>
        </w:rPr>
        <w:t>th</w:t>
      </w:r>
      <w:r>
        <w:rPr>
          <w:rFonts w:eastAsia="Batang"/>
          <w:b/>
          <w:sz w:val="24"/>
          <w:szCs w:val="24"/>
          <w:lang w:eastAsia="ja-JP"/>
        </w:rPr>
        <w:t xml:space="preserve"> – </w:t>
      </w:r>
      <w:r>
        <w:rPr>
          <w:rFonts w:hint="eastAsia"/>
          <w:b/>
          <w:sz w:val="24"/>
          <w:szCs w:val="24"/>
        </w:rPr>
        <w:t>Oct</w:t>
      </w:r>
      <w:r>
        <w:rPr>
          <w:b/>
          <w:sz w:val="24"/>
          <w:szCs w:val="24"/>
        </w:rPr>
        <w:t>.</w:t>
      </w:r>
      <w:r>
        <w:rPr>
          <w:rFonts w:hint="eastAsia"/>
          <w:b/>
          <w:sz w:val="24"/>
          <w:szCs w:val="24"/>
        </w:rPr>
        <w:t xml:space="preserve"> 19</w:t>
      </w:r>
      <w:r>
        <w:rPr>
          <w:rFonts w:eastAsia="Batang"/>
          <w:b/>
          <w:sz w:val="24"/>
          <w:szCs w:val="24"/>
          <w:vertAlign w:val="superscript"/>
          <w:lang w:eastAsia="ja-JP"/>
        </w:rPr>
        <w:t>th</w:t>
      </w:r>
      <w:r>
        <w:rPr>
          <w:rFonts w:eastAsia="Batang"/>
          <w:b/>
          <w:sz w:val="24"/>
          <w:szCs w:val="24"/>
          <w:lang w:eastAsia="ja-JP"/>
        </w:rPr>
        <w:t>, 2021</w:t>
      </w:r>
    </w:p>
    <w:p w:rsidR="0029479C" w:rsidRDefault="00A15FD1">
      <w:pPr>
        <w:tabs>
          <w:tab w:val="center" w:pos="4536"/>
          <w:tab w:val="right" w:pos="9072"/>
        </w:tabs>
        <w:spacing w:before="120" w:after="120"/>
        <w:rPr>
          <w:b/>
          <w:sz w:val="22"/>
          <w:szCs w:val="22"/>
        </w:rPr>
      </w:pPr>
      <w:r>
        <w:rPr>
          <w:b/>
          <w:sz w:val="22"/>
          <w:szCs w:val="22"/>
        </w:rPr>
        <w:tab/>
      </w:r>
    </w:p>
    <w:p w:rsidR="0029479C" w:rsidRDefault="00A15FD1">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 xml:space="preserve">ZTE, </w:t>
      </w:r>
      <w:proofErr w:type="spellStart"/>
      <w:r>
        <w:rPr>
          <w:b/>
          <w:sz w:val="22"/>
          <w:szCs w:val="22"/>
        </w:rPr>
        <w:t>Sanechips</w:t>
      </w:r>
      <w:proofErr w:type="spellEnd"/>
    </w:p>
    <w:p w:rsidR="0029479C" w:rsidRDefault="00A15FD1">
      <w:pPr>
        <w:tabs>
          <w:tab w:val="left" w:pos="1985"/>
        </w:tabs>
        <w:spacing w:before="120" w:after="120" w:line="240" w:lineRule="auto"/>
        <w:ind w:left="1980" w:hanging="1980"/>
        <w:rPr>
          <w:b/>
          <w:sz w:val="22"/>
          <w:szCs w:val="22"/>
        </w:rPr>
      </w:pPr>
      <w:r>
        <w:rPr>
          <w:b/>
          <w:sz w:val="22"/>
          <w:szCs w:val="22"/>
        </w:rPr>
        <w:t>Title:</w:t>
      </w:r>
      <w:r>
        <w:rPr>
          <w:b/>
          <w:sz w:val="22"/>
          <w:szCs w:val="22"/>
        </w:rPr>
        <w:tab/>
        <w:t>Discussion on power saving enhancements for paging</w:t>
      </w:r>
    </w:p>
    <w:p w:rsidR="0029479C" w:rsidRDefault="00A15FD1">
      <w:pPr>
        <w:tabs>
          <w:tab w:val="left" w:pos="1985"/>
        </w:tabs>
        <w:spacing w:before="120" w:after="120" w:line="240" w:lineRule="auto"/>
        <w:rPr>
          <w:b/>
          <w:sz w:val="22"/>
          <w:szCs w:val="22"/>
        </w:rPr>
      </w:pPr>
      <w:r>
        <w:rPr>
          <w:b/>
          <w:sz w:val="22"/>
          <w:szCs w:val="22"/>
          <w:lang w:val="pt-BR"/>
        </w:rPr>
        <w:t>Agenda item:</w:t>
      </w:r>
      <w:r>
        <w:rPr>
          <w:b/>
          <w:sz w:val="22"/>
          <w:szCs w:val="22"/>
          <w:lang w:val="pt-BR"/>
        </w:rPr>
        <w:tab/>
        <w:t>8.7.1.1</w:t>
      </w:r>
    </w:p>
    <w:p w:rsidR="0029479C" w:rsidRDefault="00A15FD1">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29479C" w:rsidRDefault="00A15FD1">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rsidR="0029479C" w:rsidRDefault="00A15FD1">
      <w:pPr>
        <w:spacing w:before="120" w:after="120"/>
      </w:pPr>
      <w:r>
        <w:rPr>
          <w:rFonts w:hint="eastAsia"/>
        </w:rPr>
        <w:t>In 3GPP TSG RAN#93-e meeting, the conclusion</w:t>
      </w:r>
      <w:r>
        <w:t xml:space="preserve"> of PEI</w:t>
      </w:r>
      <w:r>
        <w:rPr>
          <w:rFonts w:hint="eastAsia"/>
        </w:rPr>
        <w:t xml:space="preserve"> was reached </w:t>
      </w:r>
      <w:r w:rsidRPr="0052624F">
        <w:rPr>
          <w:rFonts w:hint="eastAsia"/>
        </w:rPr>
        <w:t>as follows</w:t>
      </w:r>
      <w:r w:rsidRPr="0052624F">
        <w:t xml:space="preserve"> </w:t>
      </w:r>
      <w:r w:rsidRPr="00CD29F4">
        <w:t>[1]</w:t>
      </w:r>
      <w:r w:rsidRPr="00C51FCC">
        <w:t>.</w:t>
      </w:r>
    </w:p>
    <w:tbl>
      <w:tblPr>
        <w:tblStyle w:val="ac"/>
        <w:tblW w:w="0" w:type="auto"/>
        <w:jc w:val="center"/>
        <w:tblLook w:val="04A0" w:firstRow="1" w:lastRow="0" w:firstColumn="1" w:lastColumn="0" w:noHBand="0" w:noVBand="1"/>
      </w:tblPr>
      <w:tblGrid>
        <w:gridCol w:w="9660"/>
      </w:tblGrid>
      <w:tr w:rsidR="0029479C">
        <w:trPr>
          <w:trHeight w:val="488"/>
          <w:jc w:val="center"/>
        </w:trPr>
        <w:tc>
          <w:tcPr>
            <w:tcW w:w="9660" w:type="dxa"/>
          </w:tcPr>
          <w:p w:rsidR="0029479C" w:rsidRDefault="00A15FD1">
            <w:pPr>
              <w:spacing w:before="120" w:after="120"/>
              <w:rPr>
                <w:b/>
                <w:bCs/>
                <w:szCs w:val="21"/>
                <w:highlight w:val="green"/>
              </w:rPr>
            </w:pPr>
            <w:r>
              <w:rPr>
                <w:rFonts w:hint="eastAsia"/>
                <w:b/>
                <w:bCs/>
                <w:szCs w:val="21"/>
                <w:highlight w:val="green"/>
              </w:rPr>
              <w:t>A</w:t>
            </w:r>
            <w:r>
              <w:rPr>
                <w:b/>
                <w:bCs/>
                <w:szCs w:val="21"/>
                <w:highlight w:val="green"/>
              </w:rPr>
              <w:t>greements</w:t>
            </w:r>
          </w:p>
          <w:p w:rsidR="0029479C" w:rsidRDefault="00A15FD1">
            <w:pPr>
              <w:numPr>
                <w:ilvl w:val="0"/>
                <w:numId w:val="8"/>
              </w:numPr>
              <w:spacing w:before="120" w:after="120"/>
              <w:rPr>
                <w:szCs w:val="21"/>
              </w:rPr>
            </w:pPr>
            <w:r>
              <w:rPr>
                <w:szCs w:val="21"/>
              </w:rPr>
              <w:t>Support PDCCH-based PEI as the only option</w:t>
            </w:r>
          </w:p>
          <w:p w:rsidR="0029479C" w:rsidRDefault="00A15FD1">
            <w:pPr>
              <w:numPr>
                <w:ilvl w:val="0"/>
                <w:numId w:val="9"/>
              </w:numPr>
              <w:spacing w:before="120" w:after="120" w:line="260" w:lineRule="auto"/>
              <w:ind w:leftChars="200" w:left="840"/>
              <w:rPr>
                <w:szCs w:val="21"/>
              </w:rPr>
            </w:pPr>
            <w:r>
              <w:rPr>
                <w:szCs w:val="21"/>
              </w:rPr>
              <w:t>Only essential function for PEI is support</w:t>
            </w:r>
          </w:p>
          <w:p w:rsidR="0029479C" w:rsidRDefault="00A15FD1">
            <w:pPr>
              <w:numPr>
                <w:ilvl w:val="0"/>
                <w:numId w:val="9"/>
              </w:numPr>
              <w:spacing w:before="120" w:after="120" w:line="260" w:lineRule="auto"/>
              <w:ind w:leftChars="300" w:left="840" w:hanging="210"/>
              <w:rPr>
                <w:szCs w:val="21"/>
              </w:rPr>
            </w:pPr>
            <w:r>
              <w:rPr>
                <w:szCs w:val="21"/>
              </w:rPr>
              <w:t>New DCI format</w:t>
            </w:r>
          </w:p>
          <w:p w:rsidR="0029479C" w:rsidRDefault="00A15FD1">
            <w:pPr>
              <w:numPr>
                <w:ilvl w:val="0"/>
                <w:numId w:val="9"/>
              </w:numPr>
              <w:spacing w:before="120" w:after="120" w:line="260" w:lineRule="auto"/>
              <w:ind w:leftChars="300" w:left="840" w:hanging="210"/>
              <w:rPr>
                <w:szCs w:val="21"/>
              </w:rPr>
            </w:pPr>
            <w:r>
              <w:rPr>
                <w:szCs w:val="21"/>
              </w:rPr>
              <w:t>Higher layer configuration, including SS</w:t>
            </w:r>
          </w:p>
          <w:p w:rsidR="0029479C" w:rsidRDefault="00A15FD1">
            <w:pPr>
              <w:numPr>
                <w:ilvl w:val="0"/>
                <w:numId w:val="9"/>
              </w:numPr>
              <w:spacing w:before="120" w:after="120" w:line="260" w:lineRule="auto"/>
              <w:ind w:leftChars="300" w:left="840" w:hanging="210"/>
              <w:rPr>
                <w:szCs w:val="21"/>
              </w:rPr>
            </w:pPr>
            <w:r>
              <w:rPr>
                <w:szCs w:val="21"/>
              </w:rPr>
              <w:t>Details of the procedures of PEI monitoring, and identification of MOs before PO</w:t>
            </w:r>
          </w:p>
          <w:p w:rsidR="0029479C" w:rsidRDefault="00A15FD1">
            <w:pPr>
              <w:numPr>
                <w:ilvl w:val="0"/>
                <w:numId w:val="9"/>
              </w:numPr>
              <w:spacing w:before="120" w:after="120" w:line="260" w:lineRule="auto"/>
              <w:ind w:leftChars="300" w:left="840" w:hanging="210"/>
              <w:rPr>
                <w:szCs w:val="21"/>
              </w:rPr>
            </w:pPr>
            <w:r>
              <w:rPr>
                <w:szCs w:val="21"/>
              </w:rPr>
              <w:t xml:space="preserve">Only </w:t>
            </w:r>
            <w:proofErr w:type="spellStart"/>
            <w:r>
              <w:rPr>
                <w:szCs w:val="21"/>
              </w:rPr>
              <w:t>Behv</w:t>
            </w:r>
            <w:proofErr w:type="spellEnd"/>
            <w:r>
              <w:rPr>
                <w:szCs w:val="21"/>
              </w:rPr>
              <w:t>-A (per RAN1#104e agreement) is supported</w:t>
            </w:r>
          </w:p>
          <w:p w:rsidR="0029479C" w:rsidRDefault="00A15FD1">
            <w:pPr>
              <w:numPr>
                <w:ilvl w:val="0"/>
                <w:numId w:val="9"/>
              </w:numPr>
              <w:spacing w:before="120" w:after="120" w:line="260" w:lineRule="auto"/>
              <w:ind w:leftChars="300" w:left="840" w:hanging="210"/>
              <w:rPr>
                <w:szCs w:val="21"/>
              </w:rPr>
            </w:pPr>
            <w:r>
              <w:rPr>
                <w:szCs w:val="21"/>
              </w:rPr>
              <w:t>If TRS availability indication is agreed to be supported in both paging DCI and the DCI format for PEI, same mechanism/principle for TRS availability indication is adopted for the two DCI formats</w:t>
            </w:r>
          </w:p>
          <w:p w:rsidR="0029479C" w:rsidRDefault="00A15FD1">
            <w:pPr>
              <w:numPr>
                <w:ilvl w:val="0"/>
                <w:numId w:val="9"/>
              </w:numPr>
              <w:spacing w:before="120" w:after="120" w:line="260" w:lineRule="auto"/>
              <w:ind w:leftChars="300" w:left="840" w:hanging="210"/>
              <w:rPr>
                <w:szCs w:val="21"/>
              </w:rPr>
            </w:pPr>
            <w:r>
              <w:rPr>
                <w:szCs w:val="21"/>
              </w:rPr>
              <w:t>Supporting TRS availability indication in DCI format for PEI shall not delay the completion of essential functionality of PEI </w:t>
            </w:r>
          </w:p>
          <w:p w:rsidR="0029479C" w:rsidRDefault="0029479C">
            <w:pPr>
              <w:spacing w:before="120" w:after="120"/>
              <w:rPr>
                <w:szCs w:val="21"/>
              </w:rPr>
            </w:pPr>
          </w:p>
        </w:tc>
      </w:tr>
    </w:tbl>
    <w:p w:rsidR="0029479C" w:rsidRDefault="00A15FD1">
      <w:pPr>
        <w:spacing w:before="120" w:after="120"/>
        <w:rPr>
          <w:sz w:val="20"/>
        </w:rPr>
      </w:pPr>
      <w:r>
        <w:rPr>
          <w:rFonts w:hint="eastAsia"/>
        </w:rPr>
        <w:t>In this contribution,</w:t>
      </w:r>
      <w:r>
        <w:t xml:space="preserve"> the </w:t>
      </w:r>
      <w:r>
        <w:rPr>
          <w:rFonts w:hint="eastAsia"/>
        </w:rPr>
        <w:t>detail</w:t>
      </w:r>
      <w:r>
        <w:t>ed</w:t>
      </w:r>
      <w:r>
        <w:rPr>
          <w:rFonts w:hint="eastAsia"/>
        </w:rPr>
        <w:t xml:space="preserve"> design</w:t>
      </w:r>
      <w:r>
        <w:t xml:space="preserve"> for </w:t>
      </w:r>
      <w:r>
        <w:rPr>
          <w:rFonts w:hint="eastAsia"/>
        </w:rPr>
        <w:t>PDCCH-based PEI</w:t>
      </w:r>
      <w:r>
        <w:t xml:space="preserve"> is </w:t>
      </w:r>
      <w:r>
        <w:rPr>
          <w:rFonts w:hint="eastAsia"/>
        </w:rPr>
        <w:t xml:space="preserve">further </w:t>
      </w:r>
      <w:r>
        <w:t>discussed.</w:t>
      </w:r>
      <w:r>
        <w:rPr>
          <w:rFonts w:hint="eastAsia"/>
        </w:rPr>
        <w:t xml:space="preserve"> </w:t>
      </w:r>
    </w:p>
    <w:p w:rsidR="0029479C" w:rsidRDefault="0029479C">
      <w:pPr>
        <w:spacing w:before="120" w:after="120"/>
        <w:rPr>
          <w:sz w:val="20"/>
        </w:rPr>
      </w:pPr>
    </w:p>
    <w:p w:rsidR="0029479C" w:rsidRDefault="00A15FD1">
      <w:pPr>
        <w:pStyle w:val="1"/>
        <w:spacing w:before="120" w:after="120"/>
        <w:ind w:left="0"/>
        <w:rPr>
          <w:rFonts w:ascii="Times New Roman" w:eastAsia="宋体" w:hAnsi="Times New Roman"/>
          <w:b/>
          <w:bCs/>
          <w:sz w:val="24"/>
          <w:szCs w:val="24"/>
        </w:rPr>
      </w:pPr>
      <w:r>
        <w:rPr>
          <w:rFonts w:ascii="Times New Roman" w:eastAsia="宋体" w:hAnsi="Times New Roman" w:hint="eastAsia"/>
          <w:b/>
          <w:bCs/>
          <w:sz w:val="24"/>
          <w:szCs w:val="24"/>
        </w:rPr>
        <w:t>General design of PDCCH-based PEI</w:t>
      </w:r>
    </w:p>
    <w:p w:rsidR="0029479C" w:rsidRDefault="00A15FD1">
      <w:pPr>
        <w:spacing w:before="120" w:after="120"/>
      </w:pPr>
      <w:r>
        <w:rPr>
          <w:rFonts w:hint="eastAsia"/>
        </w:rPr>
        <w:t xml:space="preserve">According to the agreements in 3GPP TSG RAN#93-e meeting, the PDCCH-based PEI is supported. </w:t>
      </w:r>
      <w:r>
        <w:t>The</w:t>
      </w:r>
      <w:r>
        <w:rPr>
          <w:rFonts w:hint="eastAsia"/>
        </w:rPr>
        <w:t xml:space="preserve"> detail</w:t>
      </w:r>
      <w:r>
        <w:t>ed</w:t>
      </w:r>
      <w:r>
        <w:rPr>
          <w:rFonts w:hint="eastAsia"/>
        </w:rPr>
        <w:t xml:space="preserve"> design</w:t>
      </w:r>
      <w:r>
        <w:t xml:space="preserve"> of PDCCH based PEI</w:t>
      </w:r>
      <w:r>
        <w:rPr>
          <w:rFonts w:hint="eastAsia"/>
        </w:rPr>
        <w:t xml:space="preserve"> </w:t>
      </w:r>
      <w:r>
        <w:t>has</w:t>
      </w:r>
      <w:r>
        <w:rPr>
          <w:rFonts w:hint="eastAsia"/>
        </w:rPr>
        <w:t>n</w:t>
      </w:r>
      <w:r>
        <w:t>’</w:t>
      </w:r>
      <w:r>
        <w:rPr>
          <w:rFonts w:hint="eastAsia"/>
        </w:rPr>
        <w:t xml:space="preserve">t </w:t>
      </w:r>
      <w:r>
        <w:t>been settled down yet</w:t>
      </w:r>
      <w:r>
        <w:rPr>
          <w:rFonts w:hint="eastAsia"/>
        </w:rPr>
        <w:t>, which need</w:t>
      </w:r>
      <w:r>
        <w:t>s</w:t>
      </w:r>
      <w:r>
        <w:rPr>
          <w:rFonts w:hint="eastAsia"/>
        </w:rPr>
        <w:t xml:space="preserve"> further discuss</w:t>
      </w:r>
      <w:r>
        <w:t>ion</w:t>
      </w:r>
      <w:r>
        <w:rPr>
          <w:rFonts w:hint="eastAsia"/>
        </w:rPr>
        <w:t>. In this contribution, the general design, such as the information carried by PEI, the mapping method of PEI and the monitoring occasions of PEI</w:t>
      </w:r>
      <w:r>
        <w:t xml:space="preserve">, etc., </w:t>
      </w:r>
      <w:r w:rsidR="0052624F">
        <w:t>is</w:t>
      </w:r>
      <w:r w:rsidR="0052624F">
        <w:rPr>
          <w:rFonts w:hint="eastAsia"/>
        </w:rPr>
        <w:t xml:space="preserve"> </w:t>
      </w:r>
      <w:r>
        <w:rPr>
          <w:rFonts w:hint="eastAsia"/>
        </w:rPr>
        <w:t xml:space="preserve">discussed. </w:t>
      </w:r>
    </w:p>
    <w:p w:rsidR="0029479C" w:rsidRDefault="0029479C">
      <w:pPr>
        <w:spacing w:before="120" w:after="120"/>
      </w:pPr>
    </w:p>
    <w:p w:rsidR="0029479C" w:rsidRDefault="00A15FD1">
      <w:pPr>
        <w:pStyle w:val="2"/>
        <w:spacing w:before="120" w:after="120" w:line="260" w:lineRule="auto"/>
        <w:ind w:left="0" w:right="210"/>
        <w:rPr>
          <w:rFonts w:ascii="Times New Roman" w:hAnsi="Times New Roman"/>
          <w:b/>
          <w:bCs/>
          <w:sz w:val="22"/>
          <w:szCs w:val="22"/>
        </w:rPr>
      </w:pPr>
      <w:r>
        <w:rPr>
          <w:rFonts w:ascii="Times New Roman" w:eastAsia="宋体" w:hAnsi="Times New Roman"/>
          <w:b/>
          <w:bCs/>
          <w:sz w:val="22"/>
          <w:szCs w:val="22"/>
        </w:rPr>
        <w:t>I</w:t>
      </w:r>
      <w:r>
        <w:rPr>
          <w:rFonts w:ascii="Times New Roman" w:eastAsia="宋体" w:hAnsi="Times New Roman" w:hint="eastAsia"/>
          <w:b/>
          <w:bCs/>
          <w:sz w:val="22"/>
          <w:szCs w:val="22"/>
        </w:rPr>
        <w:t>nformation carried by PEI</w:t>
      </w:r>
    </w:p>
    <w:p w:rsidR="0029479C" w:rsidRDefault="00A15FD1">
      <w:pPr>
        <w:numPr>
          <w:ilvl w:val="0"/>
          <w:numId w:val="10"/>
        </w:numPr>
        <w:spacing w:before="120" w:after="120" w:line="260" w:lineRule="auto"/>
        <w:rPr>
          <w:b/>
          <w:bCs/>
          <w:szCs w:val="21"/>
        </w:rPr>
      </w:pPr>
      <w:r>
        <w:rPr>
          <w:rFonts w:hint="eastAsia"/>
          <w:b/>
          <w:bCs/>
          <w:szCs w:val="21"/>
        </w:rPr>
        <w:t>Sub-grouping information</w:t>
      </w:r>
    </w:p>
    <w:p w:rsidR="0029479C" w:rsidRDefault="00A15FD1">
      <w:pPr>
        <w:spacing w:before="120" w:after="120" w:line="260" w:lineRule="auto"/>
        <w:rPr>
          <w:szCs w:val="21"/>
        </w:rPr>
      </w:pPr>
      <w:r>
        <w:rPr>
          <w:rFonts w:hint="eastAsia"/>
          <w:szCs w:val="21"/>
        </w:rPr>
        <w:t>In 3G</w:t>
      </w:r>
      <w:r>
        <w:rPr>
          <w:szCs w:val="21"/>
        </w:rPr>
        <w:t xml:space="preserve">PP TSG RAN1#105-e </w:t>
      </w:r>
      <w:r w:rsidRPr="001E4ADD">
        <w:rPr>
          <w:szCs w:val="21"/>
        </w:rPr>
        <w:t xml:space="preserve">meeting </w:t>
      </w:r>
      <w:r w:rsidRPr="00CD29F4">
        <w:rPr>
          <w:szCs w:val="21"/>
        </w:rPr>
        <w:t>[2]</w:t>
      </w:r>
      <w:r w:rsidRPr="001E4ADD">
        <w:rPr>
          <w:szCs w:val="21"/>
        </w:rPr>
        <w:t>, it was agreed that for UE sub-grouping indication in physical layer, maximum of 8 subgroups per PO is supported.</w:t>
      </w:r>
      <w:r>
        <w:rPr>
          <w:szCs w:val="21"/>
        </w:rPr>
        <w:t xml:space="preserve"> </w:t>
      </w:r>
    </w:p>
    <w:tbl>
      <w:tblPr>
        <w:tblStyle w:val="ac"/>
        <w:tblW w:w="0" w:type="auto"/>
        <w:jc w:val="center"/>
        <w:tblLook w:val="04A0" w:firstRow="1" w:lastRow="0" w:firstColumn="1" w:lastColumn="0" w:noHBand="0" w:noVBand="1"/>
      </w:tblPr>
      <w:tblGrid>
        <w:gridCol w:w="9700"/>
      </w:tblGrid>
      <w:tr w:rsidR="0029479C">
        <w:trPr>
          <w:trHeight w:val="821"/>
          <w:jc w:val="center"/>
        </w:trPr>
        <w:tc>
          <w:tcPr>
            <w:tcW w:w="9700" w:type="dxa"/>
          </w:tcPr>
          <w:p w:rsidR="0029479C" w:rsidRDefault="00A15FD1">
            <w:pPr>
              <w:spacing w:before="120" w:after="120"/>
              <w:rPr>
                <w:kern w:val="0"/>
                <w:sz w:val="20"/>
                <w:highlight w:val="green"/>
              </w:rPr>
            </w:pPr>
            <w:r>
              <w:rPr>
                <w:sz w:val="20"/>
                <w:highlight w:val="green"/>
              </w:rPr>
              <w:lastRenderedPageBreak/>
              <w:t>Agreements:</w:t>
            </w:r>
          </w:p>
          <w:p w:rsidR="0029479C" w:rsidRDefault="00A15FD1">
            <w:pPr>
              <w:spacing w:before="120" w:after="120" w:line="260" w:lineRule="auto"/>
              <w:rPr>
                <w:szCs w:val="21"/>
              </w:rPr>
            </w:pPr>
            <w:r>
              <w:rPr>
                <w:sz w:val="20"/>
              </w:rPr>
              <w:t>For UE subgroups indication in physical layer, maximum of 8 subgroups per PO is supported.</w:t>
            </w:r>
          </w:p>
        </w:tc>
      </w:tr>
    </w:tbl>
    <w:p w:rsidR="0029479C" w:rsidRDefault="00A15FD1">
      <w:pPr>
        <w:spacing w:before="120" w:after="120" w:line="260" w:lineRule="auto"/>
        <w:rPr>
          <w:szCs w:val="21"/>
        </w:rPr>
      </w:pPr>
      <w:r>
        <w:rPr>
          <w:szCs w:val="21"/>
        </w:rPr>
        <w:t>For sub-grouping information, one solution is to carry the sub-grouping information on the PEI, another solution is to carry the sub-grouping information on the paging PDCCH. However, according to the agreements in 3GPP TSG RAN1#103-e meeting (shown as below), the power saving gain of the sub-grouping information carried on paging PDCCH is negligible.</w:t>
      </w:r>
      <w:r>
        <w:rPr>
          <w:rFonts w:hint="eastAsia"/>
          <w:szCs w:val="21"/>
        </w:rPr>
        <w:t xml:space="preserve"> </w:t>
      </w:r>
    </w:p>
    <w:tbl>
      <w:tblPr>
        <w:tblStyle w:val="ac"/>
        <w:tblW w:w="0" w:type="auto"/>
        <w:jc w:val="center"/>
        <w:tblLook w:val="04A0" w:firstRow="1" w:lastRow="0" w:firstColumn="1" w:lastColumn="0" w:noHBand="0" w:noVBand="1"/>
      </w:tblPr>
      <w:tblGrid>
        <w:gridCol w:w="9700"/>
      </w:tblGrid>
      <w:tr w:rsidR="0029479C">
        <w:trPr>
          <w:trHeight w:val="553"/>
          <w:jc w:val="center"/>
        </w:trPr>
        <w:tc>
          <w:tcPr>
            <w:tcW w:w="9700" w:type="dxa"/>
          </w:tcPr>
          <w:p w:rsidR="0029479C" w:rsidRDefault="00A15FD1">
            <w:pPr>
              <w:spacing w:beforeLines="0" w:before="0" w:afterLines="0" w:after="0" w:line="276" w:lineRule="auto"/>
              <w:rPr>
                <w:sz w:val="20"/>
              </w:rPr>
            </w:pPr>
            <w:r>
              <w:rPr>
                <w:sz w:val="20"/>
              </w:rPr>
              <w:t>Agreements:</w:t>
            </w:r>
          </w:p>
          <w:p w:rsidR="0029479C" w:rsidRDefault="00A15FD1">
            <w:pPr>
              <w:spacing w:beforeLines="0" w:before="0" w:afterLines="0" w:after="0" w:line="276" w:lineRule="auto"/>
              <w:rPr>
                <w:rFonts w:eastAsia="Calibri"/>
                <w:sz w:val="20"/>
              </w:rPr>
            </w:pPr>
            <w:r>
              <w:rPr>
                <w:rFonts w:eastAsia="Calibri"/>
                <w:sz w:val="20"/>
              </w:rPr>
              <w:t>Observation: For NR idle/inactive-mode UEs, UE sub-grouping indication within a PO can provide the following power saving gains w.r.t. Rel-16:</w:t>
            </w:r>
          </w:p>
          <w:p w:rsidR="0029479C" w:rsidRDefault="00A15FD1">
            <w:pPr>
              <w:numPr>
                <w:ilvl w:val="0"/>
                <w:numId w:val="11"/>
              </w:numPr>
              <w:spacing w:beforeLines="0" w:before="0" w:afterLines="0" w:after="0" w:line="276" w:lineRule="auto"/>
              <w:rPr>
                <w:sz w:val="20"/>
              </w:rPr>
            </w:pPr>
            <w:r>
              <w:rPr>
                <w:sz w:val="20"/>
              </w:rPr>
              <w:t xml:space="preserve">If the original group paging rate is 10%: </w:t>
            </w:r>
          </w:p>
          <w:p w:rsidR="0029479C" w:rsidRDefault="00A15FD1">
            <w:pPr>
              <w:numPr>
                <w:ilvl w:val="1"/>
                <w:numId w:val="11"/>
              </w:numPr>
              <w:spacing w:beforeLines="0" w:before="0" w:afterLines="0" w:after="0" w:line="276" w:lineRule="auto"/>
              <w:rPr>
                <w:sz w:val="20"/>
              </w:rPr>
            </w:pPr>
            <w:r>
              <w:rPr>
                <w:sz w:val="20"/>
              </w:rPr>
              <w:t>[0.3%] - [1.1%] where the baseline assumes 1 SS burst for synchronization before PO reception</w:t>
            </w:r>
          </w:p>
          <w:p w:rsidR="0029479C" w:rsidRDefault="00A15FD1">
            <w:pPr>
              <w:numPr>
                <w:ilvl w:val="1"/>
                <w:numId w:val="11"/>
              </w:numPr>
              <w:spacing w:beforeLines="0" w:before="0" w:afterLines="0" w:after="0" w:line="276" w:lineRule="auto"/>
              <w:rPr>
                <w:sz w:val="20"/>
              </w:rPr>
            </w:pPr>
            <w:r>
              <w:rPr>
                <w:sz w:val="20"/>
              </w:rPr>
              <w:t>[0.4%] - [0.8%] where the baseline assumes 2 SS bursts for synchronization before PO reception</w:t>
            </w:r>
          </w:p>
          <w:p w:rsidR="0029479C" w:rsidRDefault="00A15FD1">
            <w:pPr>
              <w:numPr>
                <w:ilvl w:val="1"/>
                <w:numId w:val="11"/>
              </w:numPr>
              <w:spacing w:beforeLines="0" w:before="0" w:afterLines="0" w:after="0" w:line="276" w:lineRule="auto"/>
              <w:rPr>
                <w:sz w:val="20"/>
              </w:rPr>
            </w:pPr>
            <w:r>
              <w:rPr>
                <w:sz w:val="20"/>
              </w:rPr>
              <w:t>[0.3%] - [1.0%] where the baseline assumes 3 SS bursts for synchronization before PO reception</w:t>
            </w:r>
          </w:p>
          <w:p w:rsidR="0029479C" w:rsidRDefault="00A15FD1">
            <w:pPr>
              <w:numPr>
                <w:ilvl w:val="0"/>
                <w:numId w:val="11"/>
              </w:numPr>
              <w:spacing w:beforeLines="0" w:before="0" w:afterLines="0" w:after="0" w:line="276" w:lineRule="auto"/>
              <w:rPr>
                <w:sz w:val="20"/>
              </w:rPr>
            </w:pPr>
            <w:r>
              <w:rPr>
                <w:sz w:val="20"/>
              </w:rPr>
              <w:t>Some sources also evaluated performance if the original group paging rate is in the range between 20% and 80% and showed following results:</w:t>
            </w:r>
            <w:r>
              <w:rPr>
                <w:rStyle w:val="apple-converted-space"/>
                <w:sz w:val="20"/>
              </w:rPr>
              <w:t> </w:t>
            </w:r>
            <w:r>
              <w:rPr>
                <w:sz w:val="20"/>
              </w:rPr>
              <w:t xml:space="preserve"> </w:t>
            </w:r>
          </w:p>
          <w:p w:rsidR="0029479C" w:rsidRDefault="00A15FD1">
            <w:pPr>
              <w:numPr>
                <w:ilvl w:val="1"/>
                <w:numId w:val="11"/>
              </w:numPr>
              <w:spacing w:beforeLines="0" w:before="0" w:afterLines="0" w:after="0" w:line="276" w:lineRule="auto"/>
              <w:rPr>
                <w:sz w:val="20"/>
              </w:rPr>
            </w:pPr>
            <w:r>
              <w:rPr>
                <w:sz w:val="20"/>
              </w:rPr>
              <w:t>[0.7%] - [7.6%] where the baseline assumes 1 SS burst for synchronization before PO reception</w:t>
            </w:r>
          </w:p>
          <w:p w:rsidR="0029479C" w:rsidRDefault="00A15FD1">
            <w:pPr>
              <w:numPr>
                <w:ilvl w:val="1"/>
                <w:numId w:val="11"/>
              </w:numPr>
              <w:spacing w:beforeLines="0" w:before="0" w:afterLines="0" w:after="0" w:line="276" w:lineRule="auto"/>
              <w:rPr>
                <w:sz w:val="20"/>
              </w:rPr>
            </w:pPr>
            <w:r>
              <w:rPr>
                <w:sz w:val="20"/>
              </w:rPr>
              <w:t>[0.8%] - [3.0%] where the baseline assumes 2 SS bursts for synchronization before PO reception</w:t>
            </w:r>
          </w:p>
          <w:p w:rsidR="0029479C" w:rsidRDefault="00A15FD1">
            <w:pPr>
              <w:numPr>
                <w:ilvl w:val="1"/>
                <w:numId w:val="11"/>
              </w:numPr>
              <w:snapToGrid w:val="0"/>
              <w:spacing w:before="120" w:after="120" w:line="240" w:lineRule="auto"/>
              <w:ind w:left="1446" w:hanging="363"/>
              <w:rPr>
                <w:szCs w:val="21"/>
              </w:rPr>
            </w:pPr>
            <w:r>
              <w:t>[0.5%] - [4.7%] where the baseline assumes 3 SS bursts for synchronization before PO reception</w:t>
            </w:r>
          </w:p>
        </w:tc>
      </w:tr>
    </w:tbl>
    <w:p w:rsidR="0029479C" w:rsidRDefault="0029479C">
      <w:pPr>
        <w:spacing w:before="120" w:after="120"/>
      </w:pPr>
    </w:p>
    <w:p w:rsidR="0029479C" w:rsidRDefault="00A15FD1">
      <w:pPr>
        <w:pStyle w:val="YJ-Observation"/>
        <w:spacing w:before="120" w:after="120" w:line="260" w:lineRule="auto"/>
        <w:jc w:val="both"/>
        <w:rPr>
          <w:i w:val="0"/>
          <w:iCs w:val="0"/>
          <w:sz w:val="21"/>
          <w:lang w:val="en-US"/>
        </w:rPr>
      </w:pPr>
      <w:bookmarkStart w:id="1" w:name="_Toc78"/>
      <w:bookmarkStart w:id="2" w:name="_Toc20901"/>
      <w:bookmarkStart w:id="3" w:name="_Toc83732674"/>
      <w:bookmarkStart w:id="4" w:name="_Toc26136"/>
      <w:bookmarkStart w:id="5" w:name="_Toc3580"/>
      <w:bookmarkStart w:id="6" w:name="_Toc17829"/>
      <w:r>
        <w:rPr>
          <w:rFonts w:hint="eastAsia"/>
          <w:i w:val="0"/>
          <w:iCs w:val="0"/>
          <w:sz w:val="21"/>
          <w:szCs w:val="21"/>
          <w:lang w:val="en-US" w:eastAsia="zh-CN"/>
        </w:rPr>
        <w:t xml:space="preserve">If the sub-grouping </w:t>
      </w:r>
      <w:r>
        <w:rPr>
          <w:i w:val="0"/>
          <w:iCs w:val="0"/>
          <w:sz w:val="21"/>
          <w:szCs w:val="21"/>
          <w:lang w:val="en-US" w:eastAsia="zh-CN"/>
        </w:rPr>
        <w:t>information</w:t>
      </w:r>
      <w:r>
        <w:rPr>
          <w:rFonts w:hint="eastAsia"/>
          <w:i w:val="0"/>
          <w:iCs w:val="0"/>
          <w:sz w:val="21"/>
          <w:szCs w:val="21"/>
          <w:lang w:val="en-US" w:eastAsia="zh-CN"/>
        </w:rPr>
        <w:t xml:space="preserve"> </w:t>
      </w:r>
      <w:r>
        <w:rPr>
          <w:i w:val="0"/>
          <w:iCs w:val="0"/>
          <w:sz w:val="21"/>
          <w:szCs w:val="21"/>
          <w:lang w:val="en-US" w:eastAsia="zh-CN"/>
        </w:rPr>
        <w:t xml:space="preserve">is </w:t>
      </w:r>
      <w:r>
        <w:rPr>
          <w:rFonts w:hint="eastAsia"/>
          <w:i w:val="0"/>
          <w:iCs w:val="0"/>
          <w:sz w:val="21"/>
          <w:szCs w:val="21"/>
          <w:lang w:val="en-US" w:eastAsia="zh-CN"/>
        </w:rPr>
        <w:t xml:space="preserve">carried on the paging PDCCH, </w:t>
      </w:r>
      <w:r>
        <w:rPr>
          <w:i w:val="0"/>
          <w:iCs w:val="0"/>
          <w:sz w:val="21"/>
          <w:szCs w:val="21"/>
          <w:lang w:val="en-US"/>
        </w:rPr>
        <w:t xml:space="preserve">the </w:t>
      </w:r>
      <w:r>
        <w:rPr>
          <w:i w:val="0"/>
          <w:iCs w:val="0"/>
          <w:sz w:val="21"/>
          <w:lang w:val="en-US"/>
        </w:rPr>
        <w:t>power saving gain is negligible</w:t>
      </w:r>
      <w:r>
        <w:rPr>
          <w:rFonts w:hint="eastAsia"/>
          <w:i w:val="0"/>
          <w:iCs w:val="0"/>
          <w:sz w:val="21"/>
          <w:lang w:val="en-US" w:eastAsia="zh-CN"/>
        </w:rPr>
        <w:t>.</w:t>
      </w:r>
      <w:bookmarkEnd w:id="1"/>
      <w:bookmarkEnd w:id="2"/>
      <w:bookmarkEnd w:id="3"/>
      <w:bookmarkEnd w:id="4"/>
      <w:bookmarkEnd w:id="5"/>
      <w:bookmarkEnd w:id="6"/>
    </w:p>
    <w:p w:rsidR="0029479C" w:rsidRDefault="00A15FD1">
      <w:pPr>
        <w:pStyle w:val="YJ-Proposal"/>
        <w:spacing w:before="120" w:after="120"/>
        <w:jc w:val="both"/>
        <w:rPr>
          <w:i w:val="0"/>
          <w:iCs w:val="0"/>
          <w:sz w:val="21"/>
          <w:szCs w:val="21"/>
          <w:lang w:val="en-US"/>
        </w:rPr>
      </w:pPr>
      <w:bookmarkStart w:id="7" w:name="_Toc22560"/>
      <w:bookmarkStart w:id="8" w:name="_Toc29890"/>
      <w:bookmarkStart w:id="9" w:name="_Toc5078"/>
      <w:bookmarkStart w:id="10" w:name="_Toc83732676"/>
      <w:bookmarkStart w:id="11" w:name="_Toc28676"/>
      <w:r>
        <w:rPr>
          <w:rFonts w:hint="eastAsia"/>
          <w:i w:val="0"/>
          <w:iCs w:val="0"/>
          <w:sz w:val="21"/>
          <w:szCs w:val="21"/>
          <w:lang w:val="en-US"/>
        </w:rPr>
        <w:t>The sub-grouping</w:t>
      </w:r>
      <w:r>
        <w:rPr>
          <w:i w:val="0"/>
          <w:iCs w:val="0"/>
          <w:sz w:val="21"/>
          <w:szCs w:val="21"/>
          <w:lang w:val="en-US"/>
        </w:rPr>
        <w:t xml:space="preserve"> </w:t>
      </w:r>
      <w:r>
        <w:rPr>
          <w:rFonts w:hint="eastAsia"/>
          <w:i w:val="0"/>
          <w:iCs w:val="0"/>
          <w:sz w:val="21"/>
          <w:szCs w:val="21"/>
          <w:lang w:val="en-US" w:eastAsia="zh-CN"/>
        </w:rPr>
        <w:t>information</w:t>
      </w:r>
      <w:r>
        <w:rPr>
          <w:rFonts w:hint="eastAsia"/>
          <w:i w:val="0"/>
          <w:iCs w:val="0"/>
          <w:sz w:val="21"/>
          <w:szCs w:val="21"/>
          <w:lang w:val="en-US"/>
        </w:rPr>
        <w:t xml:space="preserve"> should be </w:t>
      </w:r>
      <w:r>
        <w:rPr>
          <w:rFonts w:hint="eastAsia"/>
          <w:i w:val="0"/>
          <w:iCs w:val="0"/>
          <w:sz w:val="21"/>
          <w:szCs w:val="21"/>
          <w:lang w:val="en-US" w:eastAsia="zh-CN"/>
        </w:rPr>
        <w:t>carried by PEI</w:t>
      </w:r>
      <w:r>
        <w:rPr>
          <w:rFonts w:hint="eastAsia"/>
          <w:i w:val="0"/>
          <w:iCs w:val="0"/>
          <w:sz w:val="21"/>
          <w:szCs w:val="21"/>
          <w:lang w:val="en-US"/>
        </w:rPr>
        <w:t>.</w:t>
      </w:r>
      <w:bookmarkEnd w:id="7"/>
      <w:bookmarkEnd w:id="8"/>
      <w:bookmarkEnd w:id="9"/>
      <w:bookmarkEnd w:id="10"/>
      <w:bookmarkEnd w:id="11"/>
      <w:r>
        <w:rPr>
          <w:rFonts w:hint="eastAsia"/>
          <w:i w:val="0"/>
          <w:iCs w:val="0"/>
          <w:sz w:val="21"/>
          <w:szCs w:val="21"/>
          <w:lang w:val="en-US" w:eastAsia="zh-CN"/>
        </w:rPr>
        <w:t xml:space="preserve"> </w:t>
      </w:r>
    </w:p>
    <w:p w:rsidR="0029479C" w:rsidRDefault="0029479C">
      <w:pPr>
        <w:pStyle w:val="YJ-Proposal"/>
        <w:numPr>
          <w:ilvl w:val="0"/>
          <w:numId w:val="0"/>
        </w:numPr>
        <w:spacing w:before="120" w:after="120"/>
        <w:jc w:val="both"/>
        <w:rPr>
          <w:i w:val="0"/>
          <w:iCs w:val="0"/>
          <w:sz w:val="21"/>
          <w:szCs w:val="21"/>
          <w:lang w:val="en-US"/>
        </w:rPr>
      </w:pPr>
    </w:p>
    <w:p w:rsidR="0029479C" w:rsidRDefault="00A15FD1">
      <w:pPr>
        <w:numPr>
          <w:ilvl w:val="0"/>
          <w:numId w:val="10"/>
        </w:numPr>
        <w:spacing w:before="120" w:after="120" w:line="260" w:lineRule="auto"/>
        <w:rPr>
          <w:b/>
          <w:bCs/>
          <w:szCs w:val="21"/>
        </w:rPr>
      </w:pPr>
      <w:r>
        <w:rPr>
          <w:rFonts w:hint="eastAsia"/>
          <w:b/>
          <w:bCs/>
          <w:szCs w:val="21"/>
        </w:rPr>
        <w:t>Multiple PO indication</w:t>
      </w:r>
    </w:p>
    <w:p w:rsidR="0029479C" w:rsidRPr="000D07D4" w:rsidRDefault="00A15FD1">
      <w:pPr>
        <w:spacing w:before="120" w:after="120"/>
        <w:rPr>
          <w:szCs w:val="21"/>
        </w:rPr>
      </w:pPr>
      <w:r>
        <w:rPr>
          <w:rFonts w:hint="eastAsia"/>
          <w:szCs w:val="21"/>
        </w:rPr>
        <w:t>In</w:t>
      </w:r>
      <w:r>
        <w:rPr>
          <w:szCs w:val="21"/>
        </w:rPr>
        <w:t xml:space="preserve"> real deployment</w:t>
      </w:r>
      <w:r>
        <w:rPr>
          <w:rFonts w:hint="eastAsia"/>
          <w:szCs w:val="21"/>
        </w:rPr>
        <w:t xml:space="preserve">, the network </w:t>
      </w:r>
      <w:r>
        <w:rPr>
          <w:szCs w:val="21"/>
        </w:rPr>
        <w:t>can</w:t>
      </w:r>
      <w:r>
        <w:rPr>
          <w:rFonts w:hint="eastAsia"/>
          <w:szCs w:val="21"/>
        </w:rPr>
        <w:t xml:space="preserve"> </w:t>
      </w:r>
      <w:r>
        <w:rPr>
          <w:szCs w:val="21"/>
        </w:rPr>
        <w:t>configure</w:t>
      </w:r>
      <w:r>
        <w:rPr>
          <w:rFonts w:hint="eastAsia"/>
          <w:szCs w:val="21"/>
        </w:rPr>
        <w:t xml:space="preserve"> more than one PO per Paging Frame (PF)</w:t>
      </w:r>
      <w:r>
        <w:rPr>
          <w:szCs w:val="21"/>
        </w:rPr>
        <w:t xml:space="preserve"> for </w:t>
      </w:r>
      <w:r>
        <w:rPr>
          <w:rFonts w:hint="eastAsia"/>
          <w:szCs w:val="21"/>
        </w:rPr>
        <w:t>RRC Idle/Inactive mode</w:t>
      </w:r>
      <w:r>
        <w:rPr>
          <w:szCs w:val="21"/>
        </w:rPr>
        <w:t xml:space="preserve"> UEs</w:t>
      </w:r>
      <w:r>
        <w:rPr>
          <w:rFonts w:hint="eastAsia"/>
          <w:szCs w:val="21"/>
        </w:rPr>
        <w:t xml:space="preserve">. If each PEI </w:t>
      </w:r>
      <w:r w:rsidRPr="000D07D4">
        <w:rPr>
          <w:szCs w:val="21"/>
        </w:rPr>
        <w:t>corresponds to one PO, the PEI overhead will be increased. For PDCCH-based PEI, associating a PEI with multiple POs does not degrade the power saving gain, but reduce the system resource overhead according to the analysis in [</w:t>
      </w:r>
      <w:r w:rsidRPr="00CD29F4">
        <w:rPr>
          <w:szCs w:val="21"/>
        </w:rPr>
        <w:t>3</w:t>
      </w:r>
      <w:r w:rsidRPr="000D07D4">
        <w:rPr>
          <w:szCs w:val="21"/>
        </w:rPr>
        <w:t xml:space="preserve">]. Therefore, a PEI associated with multiple POs should be supported. </w:t>
      </w:r>
    </w:p>
    <w:p w:rsidR="0029479C" w:rsidRPr="000D07D4" w:rsidRDefault="00A15FD1">
      <w:pPr>
        <w:pStyle w:val="YJ-Proposal"/>
        <w:spacing w:before="120" w:after="120"/>
        <w:jc w:val="both"/>
        <w:rPr>
          <w:i w:val="0"/>
          <w:iCs w:val="0"/>
          <w:sz w:val="21"/>
          <w:szCs w:val="21"/>
          <w:lang w:val="en-US" w:eastAsia="zh-CN"/>
        </w:rPr>
      </w:pPr>
      <w:bookmarkStart w:id="12" w:name="_Toc83732677"/>
      <w:r w:rsidRPr="000D07D4">
        <w:rPr>
          <w:i w:val="0"/>
          <w:iCs w:val="0"/>
          <w:sz w:val="21"/>
          <w:szCs w:val="21"/>
          <w:lang w:val="en-US" w:eastAsia="zh-CN"/>
        </w:rPr>
        <w:t>A PEI associated with multiple POs should be supported.</w:t>
      </w:r>
      <w:bookmarkEnd w:id="12"/>
    </w:p>
    <w:p w:rsidR="0029479C" w:rsidRDefault="00A15FD1">
      <w:pPr>
        <w:spacing w:before="120" w:after="120"/>
        <w:rPr>
          <w:szCs w:val="21"/>
        </w:rPr>
      </w:pPr>
      <w:r w:rsidRPr="000D07D4">
        <w:rPr>
          <w:szCs w:val="21"/>
        </w:rPr>
        <w:t>The number of POs in one DRX cycle is determined</w:t>
      </w:r>
      <w:r>
        <w:rPr>
          <w:rFonts w:hint="eastAsia"/>
          <w:szCs w:val="21"/>
        </w:rPr>
        <w:t xml:space="preserve"> by the number of PFs and the number of POs in one PF, which can be configured flexibl</w:t>
      </w:r>
      <w:r>
        <w:rPr>
          <w:szCs w:val="21"/>
        </w:rPr>
        <w:t>y</w:t>
      </w:r>
      <w:r>
        <w:rPr>
          <w:rFonts w:hint="eastAsia"/>
          <w:szCs w:val="21"/>
        </w:rPr>
        <w:t>. For different configuration</w:t>
      </w:r>
      <w:r>
        <w:rPr>
          <w:szCs w:val="21"/>
        </w:rPr>
        <w:t>s</w:t>
      </w:r>
      <w:r>
        <w:rPr>
          <w:rFonts w:hint="eastAsia"/>
          <w:szCs w:val="21"/>
        </w:rPr>
        <w:t>, the optimal PEI indication method</w:t>
      </w:r>
      <w:r>
        <w:rPr>
          <w:szCs w:val="21"/>
        </w:rPr>
        <w:t>s</w:t>
      </w:r>
      <w:r>
        <w:rPr>
          <w:rFonts w:hint="eastAsia"/>
          <w:szCs w:val="21"/>
        </w:rPr>
        <w:t xml:space="preserve"> </w:t>
      </w:r>
      <w:r>
        <w:rPr>
          <w:szCs w:val="21"/>
        </w:rPr>
        <w:t>are</w:t>
      </w:r>
      <w:r>
        <w:rPr>
          <w:rFonts w:hint="eastAsia"/>
          <w:szCs w:val="21"/>
        </w:rPr>
        <w:t xml:space="preserve"> different. For example, when the PO density in a DRX cycle is high, </w:t>
      </w:r>
      <w:r>
        <w:rPr>
          <w:szCs w:val="21"/>
        </w:rPr>
        <w:t xml:space="preserve">the mechanism that </w:t>
      </w:r>
      <w:r>
        <w:rPr>
          <w:rFonts w:hint="eastAsia"/>
          <w:szCs w:val="21"/>
        </w:rPr>
        <w:t xml:space="preserve">one PEI indicates the operation of multiple POs can </w:t>
      </w:r>
      <w:r>
        <w:rPr>
          <w:szCs w:val="21"/>
        </w:rPr>
        <w:t xml:space="preserve">significantly </w:t>
      </w:r>
      <w:r>
        <w:rPr>
          <w:rFonts w:hint="eastAsia"/>
          <w:szCs w:val="21"/>
        </w:rPr>
        <w:t>reduce the resource overhead without affecting the power saving gain. When the PO density in a DRX cycle is small, one PEI associat</w:t>
      </w:r>
      <w:r>
        <w:rPr>
          <w:szCs w:val="21"/>
        </w:rPr>
        <w:t>ing</w:t>
      </w:r>
      <w:r>
        <w:rPr>
          <w:rFonts w:hint="eastAsia"/>
          <w:szCs w:val="21"/>
        </w:rPr>
        <w:t xml:space="preserve"> with a small number of POs</w:t>
      </w:r>
      <w:r>
        <w:rPr>
          <w:szCs w:val="21"/>
        </w:rPr>
        <w:t xml:space="preserve"> doesn’t increase</w:t>
      </w:r>
      <w:r>
        <w:rPr>
          <w:rFonts w:hint="eastAsia"/>
          <w:szCs w:val="21"/>
        </w:rPr>
        <w:t xml:space="preserve"> resource overhead. Therefore,</w:t>
      </w:r>
      <w:r>
        <w:rPr>
          <w:szCs w:val="21"/>
        </w:rPr>
        <w:t xml:space="preserve"> the number of POs </w:t>
      </w:r>
      <w:r>
        <w:rPr>
          <w:rFonts w:hint="eastAsia"/>
          <w:szCs w:val="21"/>
        </w:rPr>
        <w:t>associated with one PEI</w:t>
      </w:r>
      <w:r>
        <w:rPr>
          <w:szCs w:val="21"/>
        </w:rPr>
        <w:t xml:space="preserve"> should be configured by network to adapt to different deployment scenarios. </w:t>
      </w:r>
    </w:p>
    <w:p w:rsidR="0029479C" w:rsidRDefault="00A15FD1">
      <w:pPr>
        <w:pStyle w:val="YJ-Proposal"/>
        <w:spacing w:before="120" w:after="120"/>
        <w:jc w:val="both"/>
        <w:rPr>
          <w:szCs w:val="21"/>
          <w:lang w:val="en-US" w:eastAsia="zh-CN"/>
        </w:rPr>
      </w:pPr>
      <w:bookmarkStart w:id="13" w:name="_Toc83732678"/>
      <w:r>
        <w:rPr>
          <w:rFonts w:eastAsia="宋体" w:hint="eastAsia"/>
          <w:i w:val="0"/>
          <w:iCs w:val="0"/>
          <w:sz w:val="21"/>
          <w:szCs w:val="21"/>
          <w:lang w:val="en-US" w:eastAsia="zh-CN"/>
        </w:rPr>
        <w:t xml:space="preserve">The number of POs associated with </w:t>
      </w:r>
      <w:r>
        <w:rPr>
          <w:rFonts w:hint="eastAsia"/>
          <w:i w:val="0"/>
          <w:iCs w:val="0"/>
          <w:sz w:val="21"/>
          <w:szCs w:val="21"/>
          <w:lang w:val="en-US" w:eastAsia="zh-CN"/>
        </w:rPr>
        <w:t xml:space="preserve">one </w:t>
      </w:r>
      <w:r>
        <w:rPr>
          <w:rFonts w:eastAsia="宋体" w:hint="eastAsia"/>
          <w:i w:val="0"/>
          <w:iCs w:val="0"/>
          <w:sz w:val="21"/>
          <w:szCs w:val="21"/>
          <w:lang w:val="en-US" w:eastAsia="zh-CN"/>
        </w:rPr>
        <w:t>PEI should be configurable.</w:t>
      </w:r>
      <w:bookmarkEnd w:id="13"/>
    </w:p>
    <w:p w:rsidR="0029479C" w:rsidRDefault="00A15FD1">
      <w:pPr>
        <w:spacing w:before="120" w:after="120"/>
        <w:rPr>
          <w:szCs w:val="21"/>
        </w:rPr>
      </w:pPr>
      <w:r>
        <w:rPr>
          <w:szCs w:val="21"/>
        </w:rPr>
        <w:t xml:space="preserve">As shown in Figure </w:t>
      </w:r>
      <w:r>
        <w:rPr>
          <w:rFonts w:hint="eastAsia"/>
          <w:szCs w:val="21"/>
        </w:rPr>
        <w:t xml:space="preserve">1, for </w:t>
      </w:r>
      <w:r>
        <w:rPr>
          <w:szCs w:val="21"/>
        </w:rPr>
        <w:t xml:space="preserve">different UEs that monitor </w:t>
      </w:r>
      <w:r>
        <w:rPr>
          <w:rFonts w:hint="eastAsia"/>
          <w:szCs w:val="21"/>
        </w:rPr>
        <w:t xml:space="preserve">the </w:t>
      </w:r>
      <w:r>
        <w:rPr>
          <w:szCs w:val="21"/>
        </w:rPr>
        <w:t xml:space="preserve">different </w:t>
      </w:r>
      <w:r>
        <w:rPr>
          <w:rFonts w:hint="eastAsia"/>
          <w:szCs w:val="21"/>
        </w:rPr>
        <w:t xml:space="preserve">POs </w:t>
      </w:r>
      <w:r>
        <w:rPr>
          <w:szCs w:val="21"/>
        </w:rPr>
        <w:t>in</w:t>
      </w:r>
      <w:r>
        <w:rPr>
          <w:rFonts w:hint="eastAsia"/>
          <w:szCs w:val="21"/>
        </w:rPr>
        <w:t xml:space="preserve"> the same PF or between two SSBs, the SSBs they need to process </w:t>
      </w:r>
      <w:r>
        <w:rPr>
          <w:szCs w:val="21"/>
        </w:rPr>
        <w:t>are</w:t>
      </w:r>
      <w:r>
        <w:rPr>
          <w:rFonts w:hint="eastAsia"/>
          <w:szCs w:val="21"/>
        </w:rPr>
        <w:t xml:space="preserve"> the same, and the PEI positions that can </w:t>
      </w:r>
      <w:r>
        <w:rPr>
          <w:szCs w:val="21"/>
        </w:rPr>
        <w:t>provide</w:t>
      </w:r>
      <w:r>
        <w:rPr>
          <w:rFonts w:hint="eastAsia"/>
          <w:szCs w:val="21"/>
        </w:rPr>
        <w:t xml:space="preserve"> the maximum power saving gain are the same. Therefore, the</w:t>
      </w:r>
      <w:r>
        <w:rPr>
          <w:szCs w:val="21"/>
        </w:rPr>
        <w:t>se UEs</w:t>
      </w:r>
      <w:r>
        <w:rPr>
          <w:rFonts w:hint="eastAsia"/>
          <w:szCs w:val="21"/>
        </w:rPr>
        <w:t xml:space="preserve"> can be associated with the same PEI. What</w:t>
      </w:r>
      <w:r>
        <w:rPr>
          <w:szCs w:val="21"/>
        </w:rPr>
        <w:t>’</w:t>
      </w:r>
      <w:r>
        <w:rPr>
          <w:rFonts w:hint="eastAsia"/>
          <w:szCs w:val="21"/>
        </w:rPr>
        <w:t>s more, us</w:t>
      </w:r>
      <w:r>
        <w:rPr>
          <w:szCs w:val="21"/>
        </w:rPr>
        <w:t>ing</w:t>
      </w:r>
      <w:r>
        <w:rPr>
          <w:rFonts w:hint="eastAsia"/>
          <w:szCs w:val="21"/>
        </w:rPr>
        <w:t xml:space="preserve"> the </w:t>
      </w:r>
      <w:r>
        <w:rPr>
          <w:szCs w:val="21"/>
        </w:rPr>
        <w:t xml:space="preserve">legacy parameters, </w:t>
      </w:r>
      <w:r>
        <w:rPr>
          <w:szCs w:val="21"/>
        </w:rPr>
        <w:lastRenderedPageBreak/>
        <w:t xml:space="preserve">for example, </w:t>
      </w:r>
      <w:r>
        <w:rPr>
          <w:rFonts w:hint="eastAsia"/>
          <w:szCs w:val="21"/>
        </w:rPr>
        <w:t>the number of POs in a PF</w:t>
      </w:r>
      <w:r>
        <w:rPr>
          <w:szCs w:val="21"/>
        </w:rPr>
        <w:t>,</w:t>
      </w:r>
      <w:r>
        <w:rPr>
          <w:rFonts w:hint="eastAsia"/>
          <w:szCs w:val="21"/>
        </w:rPr>
        <w:t xml:space="preserve"> to indicate the number of POs associate</w:t>
      </w:r>
      <w:r>
        <w:rPr>
          <w:szCs w:val="21"/>
        </w:rPr>
        <w:t>d</w:t>
      </w:r>
      <w:r>
        <w:rPr>
          <w:rFonts w:hint="eastAsia"/>
          <w:szCs w:val="21"/>
        </w:rPr>
        <w:t xml:space="preserve"> with one PEI can</w:t>
      </w:r>
      <w:r>
        <w:rPr>
          <w:szCs w:val="21"/>
        </w:rPr>
        <w:t xml:space="preserve"> reduce the configuration resource overhead. In another way, pre-defining the </w:t>
      </w:r>
      <w:r>
        <w:rPr>
          <w:rFonts w:hint="eastAsia"/>
          <w:szCs w:val="21"/>
        </w:rPr>
        <w:t>number of POs associated with one PEI</w:t>
      </w:r>
      <w:r>
        <w:rPr>
          <w:szCs w:val="21"/>
        </w:rPr>
        <w:t xml:space="preserve"> in specification can also reduce the signaling overhead.</w:t>
      </w:r>
    </w:p>
    <w:p w:rsidR="0029479C" w:rsidRDefault="00A15FD1">
      <w:pPr>
        <w:spacing w:before="120" w:after="120"/>
        <w:jc w:val="center"/>
      </w:pPr>
      <w:r>
        <w:rPr>
          <w:noProof/>
        </w:rPr>
        <w:drawing>
          <wp:inline distT="0" distB="0" distL="114300" distR="114300">
            <wp:extent cx="4046855" cy="1299845"/>
            <wp:effectExtent l="0" t="0" r="10795" b="1460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9"/>
                    <a:stretch>
                      <a:fillRect/>
                    </a:stretch>
                  </pic:blipFill>
                  <pic:spPr>
                    <a:xfrm>
                      <a:off x="0" y="0"/>
                      <a:ext cx="4046855" cy="1299845"/>
                    </a:xfrm>
                    <a:prstGeom prst="rect">
                      <a:avLst/>
                    </a:prstGeom>
                    <a:noFill/>
                    <a:ln>
                      <a:noFill/>
                    </a:ln>
                  </pic:spPr>
                </pic:pic>
              </a:graphicData>
            </a:graphic>
          </wp:inline>
        </w:drawing>
      </w:r>
    </w:p>
    <w:p w:rsidR="0029479C" w:rsidRDefault="00A15FD1">
      <w:pPr>
        <w:spacing w:before="120" w:after="120"/>
        <w:jc w:val="center"/>
      </w:pPr>
      <w:r>
        <w:rPr>
          <w:rFonts w:hint="eastAsia"/>
        </w:rPr>
        <w:t xml:space="preserve">Figure 1 Multiple POs indicated by </w:t>
      </w:r>
      <w:r>
        <w:t>the same</w:t>
      </w:r>
      <w:r>
        <w:rPr>
          <w:rFonts w:hint="eastAsia"/>
        </w:rPr>
        <w:t xml:space="preserve"> PEI</w:t>
      </w:r>
    </w:p>
    <w:p w:rsidR="0029479C" w:rsidRDefault="0029479C">
      <w:pPr>
        <w:spacing w:before="120" w:after="120"/>
        <w:jc w:val="center"/>
      </w:pPr>
    </w:p>
    <w:p w:rsidR="0029479C" w:rsidRDefault="00A15FD1">
      <w:pPr>
        <w:pStyle w:val="YJ-Proposal"/>
        <w:spacing w:before="120" w:after="120"/>
        <w:jc w:val="both"/>
        <w:rPr>
          <w:szCs w:val="21"/>
        </w:rPr>
      </w:pPr>
      <w:bookmarkStart w:id="14" w:name="_Toc83732679"/>
      <w:r>
        <w:rPr>
          <w:rFonts w:eastAsia="宋体" w:hint="eastAsia"/>
          <w:i w:val="0"/>
          <w:iCs w:val="0"/>
          <w:sz w:val="21"/>
          <w:szCs w:val="21"/>
          <w:lang w:val="en-US" w:eastAsia="zh-CN"/>
        </w:rPr>
        <w:t xml:space="preserve">Some legacy parameters can be </w:t>
      </w:r>
      <w:r>
        <w:rPr>
          <w:rFonts w:eastAsia="宋体"/>
          <w:i w:val="0"/>
          <w:iCs w:val="0"/>
          <w:sz w:val="21"/>
          <w:szCs w:val="21"/>
          <w:lang w:val="en-US" w:eastAsia="zh-CN"/>
        </w:rPr>
        <w:t>re</w:t>
      </w:r>
      <w:r>
        <w:rPr>
          <w:rFonts w:eastAsia="宋体" w:hint="eastAsia"/>
          <w:i w:val="0"/>
          <w:iCs w:val="0"/>
          <w:sz w:val="21"/>
          <w:szCs w:val="21"/>
          <w:lang w:val="en-US" w:eastAsia="zh-CN"/>
        </w:rPr>
        <w:t>used to indicate the number of POs associated with one PEI.</w:t>
      </w:r>
      <w:bookmarkEnd w:id="14"/>
    </w:p>
    <w:p w:rsidR="0029479C" w:rsidRDefault="0029479C">
      <w:pPr>
        <w:spacing w:before="120" w:after="120" w:line="260" w:lineRule="auto"/>
      </w:pPr>
    </w:p>
    <w:p w:rsidR="0029479C" w:rsidRDefault="00A15FD1">
      <w:pPr>
        <w:numPr>
          <w:ilvl w:val="0"/>
          <w:numId w:val="10"/>
        </w:numPr>
        <w:spacing w:before="120" w:after="120" w:line="260" w:lineRule="auto"/>
        <w:rPr>
          <w:b/>
          <w:bCs/>
        </w:rPr>
      </w:pPr>
      <w:r>
        <w:rPr>
          <w:rFonts w:hint="eastAsia"/>
          <w:b/>
          <w:bCs/>
        </w:rPr>
        <w:t>TRS availability indication</w:t>
      </w:r>
    </w:p>
    <w:p w:rsidR="0029479C" w:rsidRDefault="00A15FD1">
      <w:pPr>
        <w:spacing w:before="120" w:after="120" w:line="260" w:lineRule="auto"/>
      </w:pPr>
      <w:r>
        <w:rPr>
          <w:rFonts w:hint="eastAsia"/>
        </w:rPr>
        <w:t xml:space="preserve">In 3GPP TSG RAN1#105-e meeting, the agreement was reached as follows. </w:t>
      </w:r>
    </w:p>
    <w:tbl>
      <w:tblPr>
        <w:tblStyle w:val="ac"/>
        <w:tblW w:w="0" w:type="auto"/>
        <w:jc w:val="center"/>
        <w:tblLook w:val="04A0" w:firstRow="1" w:lastRow="0" w:firstColumn="1" w:lastColumn="0" w:noHBand="0" w:noVBand="1"/>
      </w:tblPr>
      <w:tblGrid>
        <w:gridCol w:w="9660"/>
      </w:tblGrid>
      <w:tr w:rsidR="0029479C">
        <w:trPr>
          <w:trHeight w:val="539"/>
          <w:jc w:val="center"/>
        </w:trPr>
        <w:tc>
          <w:tcPr>
            <w:tcW w:w="9660" w:type="dxa"/>
          </w:tcPr>
          <w:p w:rsidR="0029479C" w:rsidRDefault="00A15FD1">
            <w:pPr>
              <w:spacing w:before="120" w:after="120"/>
              <w:rPr>
                <w:highlight w:val="green"/>
              </w:rPr>
            </w:pPr>
            <w:r>
              <w:rPr>
                <w:highlight w:val="green"/>
              </w:rPr>
              <w:t>Agreement:</w:t>
            </w:r>
          </w:p>
          <w:p w:rsidR="0029479C" w:rsidRDefault="00A15FD1">
            <w:pPr>
              <w:snapToGrid w:val="0"/>
              <w:spacing w:before="120" w:after="120"/>
            </w:pPr>
            <w:r>
              <w:t>Confirm the following working assumption:</w:t>
            </w:r>
          </w:p>
          <w:p w:rsidR="0029479C" w:rsidRDefault="00A15FD1">
            <w:pPr>
              <w:snapToGrid w:val="0"/>
              <w:spacing w:before="120" w:after="120"/>
              <w:ind w:left="360"/>
            </w:pPr>
            <w:r>
              <w:rPr>
                <w:rFonts w:cs="Times"/>
              </w:rPr>
              <w:t>Support at least L1 based signaling for the availability indication of TRS/CSI-RS at the configured occasion(s) to the idle/inactive UEs.</w:t>
            </w:r>
          </w:p>
          <w:p w:rsidR="0029479C" w:rsidRDefault="00A15FD1">
            <w:pPr>
              <w:numPr>
                <w:ilvl w:val="0"/>
                <w:numId w:val="12"/>
              </w:numPr>
              <w:snapToGrid w:val="0"/>
              <w:spacing w:before="120" w:after="120"/>
              <w:ind w:left="1080"/>
              <w:rPr>
                <w:rFonts w:cs="Times"/>
              </w:rPr>
            </w:pPr>
            <w:r>
              <w:rPr>
                <w:rFonts w:cs="Times"/>
              </w:rPr>
              <w:t>FFS details, including paging DCI and/or PEI for L1 based signaling</w:t>
            </w:r>
          </w:p>
          <w:p w:rsidR="0029479C" w:rsidRDefault="00A15FD1">
            <w:pPr>
              <w:numPr>
                <w:ilvl w:val="0"/>
                <w:numId w:val="12"/>
              </w:numPr>
              <w:snapToGrid w:val="0"/>
              <w:spacing w:before="120" w:after="120"/>
              <w:ind w:left="1080"/>
              <w:rPr>
                <w:rFonts w:cs="Times"/>
              </w:rPr>
            </w:pPr>
            <w:r>
              <w:rPr>
                <w:rFonts w:cs="Times"/>
              </w:rPr>
              <w:t>FFS SIB-based signaling/configuration</w:t>
            </w:r>
          </w:p>
          <w:p w:rsidR="0029479C" w:rsidRDefault="00A15FD1">
            <w:pPr>
              <w:numPr>
                <w:ilvl w:val="0"/>
                <w:numId w:val="13"/>
              </w:numPr>
              <w:spacing w:before="120" w:after="120" w:line="260" w:lineRule="auto"/>
              <w:ind w:leftChars="500" w:left="1277" w:hanging="227"/>
            </w:pPr>
            <w:r>
              <w:rPr>
                <w:rFonts w:cs="Times"/>
              </w:rPr>
              <w:t xml:space="preserve">Note: It is RAN1 understanding that existing SI update procedure is used for SIB based </w:t>
            </w:r>
            <w:proofErr w:type="spellStart"/>
            <w:r>
              <w:rPr>
                <w:rFonts w:cs="Times"/>
              </w:rPr>
              <w:t>signallin</w:t>
            </w:r>
            <w:r>
              <w:rPr>
                <w:rFonts w:cs="Times" w:hint="eastAsia"/>
              </w:rPr>
              <w:t>g</w:t>
            </w:r>
            <w:proofErr w:type="spellEnd"/>
          </w:p>
        </w:tc>
      </w:tr>
    </w:tbl>
    <w:p w:rsidR="0029479C" w:rsidRDefault="0029479C">
      <w:pPr>
        <w:spacing w:before="120" w:after="120" w:line="260" w:lineRule="auto"/>
      </w:pPr>
    </w:p>
    <w:p w:rsidR="0029479C" w:rsidRDefault="00A15FD1">
      <w:pPr>
        <w:spacing w:before="120" w:after="120" w:line="260" w:lineRule="auto"/>
      </w:pPr>
      <w:r>
        <w:rPr>
          <w:rFonts w:hint="eastAsia"/>
        </w:rPr>
        <w:t xml:space="preserve">The periodic TRS configured to RRC connected mode UE can be broadcasted via SIB to assist the RRC idle/inactive state </w:t>
      </w:r>
      <w:r>
        <w:t xml:space="preserve">UE </w:t>
      </w:r>
      <w:r>
        <w:rPr>
          <w:rFonts w:hint="eastAsia"/>
        </w:rPr>
        <w:t>to acquire ACG and synchronization. If the periodic TRS is not available, for example, due to there is no RRC connected mode UE in the cell, the network has the flexibility to stop transmit</w:t>
      </w:r>
      <w:r>
        <w:t>ting</w:t>
      </w:r>
      <w:r>
        <w:rPr>
          <w:rFonts w:hint="eastAsia"/>
        </w:rPr>
        <w:t xml:space="preserve"> the periodic TRS for RRC idle/inactive UE. The availability indication </w:t>
      </w:r>
      <w:r>
        <w:t xml:space="preserve">of TRS </w:t>
      </w:r>
      <w:r>
        <w:rPr>
          <w:rFonts w:hint="eastAsia"/>
        </w:rPr>
        <w:t xml:space="preserve">to RRC idle/inactive UE is necessary </w:t>
      </w:r>
      <w:r w:rsidR="00746009">
        <w:t>for UE</w:t>
      </w:r>
      <w:r>
        <w:rPr>
          <w:rFonts w:hint="eastAsia"/>
        </w:rPr>
        <w:t xml:space="preserve"> power saving. </w:t>
      </w:r>
    </w:p>
    <w:p w:rsidR="0029479C" w:rsidRDefault="00A15FD1">
      <w:pPr>
        <w:spacing w:before="120" w:after="120" w:line="260" w:lineRule="auto"/>
      </w:pPr>
      <w:r>
        <w:rPr>
          <w:rFonts w:hint="eastAsia"/>
        </w:rPr>
        <w:t xml:space="preserve">For RRC Idle/Inactive state UE, both PEI and paging DCI can be used for TRS </w:t>
      </w:r>
      <w:r>
        <w:rPr>
          <w:rFonts w:cs="Times"/>
        </w:rPr>
        <w:t>availability indication</w:t>
      </w:r>
      <w:r>
        <w:rPr>
          <w:rFonts w:hint="eastAsia"/>
        </w:rPr>
        <w:t>. If the availability indication is carried by PEI, UE can skip receiving paging DCI and paging PDSCH when there is no paging message for the UE</w:t>
      </w:r>
      <w:r>
        <w:t>, which will bring more power saving gain</w:t>
      </w:r>
      <w:r>
        <w:rPr>
          <w:rFonts w:hint="eastAsia"/>
        </w:rPr>
        <w:t>. Therefore, the availability indication conveyed by PEI should be supported.</w:t>
      </w:r>
      <w:bookmarkStart w:id="15" w:name="_GoBack"/>
      <w:bookmarkEnd w:id="15"/>
    </w:p>
    <w:p w:rsidR="0029479C" w:rsidRDefault="00A15FD1">
      <w:pPr>
        <w:pStyle w:val="YJ-Proposal"/>
        <w:spacing w:before="120" w:after="120"/>
        <w:jc w:val="both"/>
      </w:pPr>
      <w:bookmarkStart w:id="16" w:name="_Toc83732680"/>
      <w:bookmarkStart w:id="17" w:name="_Toc12351"/>
      <w:bookmarkStart w:id="18" w:name="_Toc20522"/>
      <w:bookmarkStart w:id="19" w:name="_Toc25809"/>
      <w:bookmarkStart w:id="20" w:name="_Toc68621489"/>
      <w:bookmarkStart w:id="21" w:name="_Toc25635"/>
      <w:bookmarkStart w:id="22" w:name="_Toc8943"/>
      <w:bookmarkStart w:id="23" w:name="_Toc14718"/>
      <w:bookmarkStart w:id="24" w:name="_Toc4646"/>
      <w:bookmarkStart w:id="25" w:name="_Toc3073"/>
      <w:bookmarkStart w:id="26" w:name="_Toc22388"/>
      <w:bookmarkStart w:id="27" w:name="_Toc79161258"/>
      <w:bookmarkStart w:id="28" w:name="_Toc16936"/>
      <w:bookmarkStart w:id="29" w:name="_Toc25123"/>
      <w:bookmarkStart w:id="30" w:name="_Toc19601"/>
      <w:bookmarkStart w:id="31" w:name="_Toc71707436"/>
      <w:bookmarkStart w:id="32" w:name="_Toc4231"/>
      <w:r>
        <w:rPr>
          <w:rFonts w:hint="eastAsia"/>
          <w:i w:val="0"/>
          <w:iCs w:val="0"/>
          <w:sz w:val="21"/>
          <w:szCs w:val="21"/>
          <w:lang w:val="en-US" w:eastAsia="zh-CN"/>
        </w:rPr>
        <w:t>The availability indication conveyed by PEI should be supported.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29479C" w:rsidRDefault="00A15FD1">
      <w:pPr>
        <w:numPr>
          <w:ilvl w:val="0"/>
          <w:numId w:val="10"/>
        </w:numPr>
        <w:spacing w:before="120" w:after="120" w:line="260" w:lineRule="auto"/>
        <w:rPr>
          <w:b/>
          <w:bCs/>
          <w:szCs w:val="21"/>
        </w:rPr>
      </w:pPr>
      <w:r>
        <w:rPr>
          <w:rFonts w:hint="eastAsia"/>
          <w:b/>
          <w:bCs/>
          <w:szCs w:val="21"/>
        </w:rPr>
        <w:t>SI change and ETWS information</w:t>
      </w:r>
    </w:p>
    <w:p w:rsidR="0029479C" w:rsidRDefault="00A15FD1">
      <w:pPr>
        <w:spacing w:before="120" w:after="120" w:line="260" w:lineRule="auto"/>
      </w:pPr>
      <w:r>
        <w:rPr>
          <w:rFonts w:hint="eastAsia"/>
        </w:rPr>
        <w:lastRenderedPageBreak/>
        <w:t xml:space="preserve">When PEI indicates that </w:t>
      </w:r>
      <w:r>
        <w:t xml:space="preserve">there is </w:t>
      </w:r>
      <w:r>
        <w:rPr>
          <w:rFonts w:hint="eastAsia"/>
        </w:rPr>
        <w:t>no paging message, the</w:t>
      </w:r>
      <w:r>
        <w:t xml:space="preserve"> power saving gain comes from the</w:t>
      </w:r>
      <w:r>
        <w:rPr>
          <w:rFonts w:hint="eastAsia"/>
        </w:rPr>
        <w:t xml:space="preserve"> skipping</w:t>
      </w:r>
      <w:r>
        <w:t xml:space="preserve"> of </w:t>
      </w:r>
      <w:r>
        <w:rPr>
          <w:rFonts w:hint="eastAsia"/>
        </w:rPr>
        <w:t xml:space="preserve">PO reception. </w:t>
      </w:r>
      <w:r>
        <w:t xml:space="preserve">However, </w:t>
      </w:r>
      <w:r>
        <w:rPr>
          <w:rFonts w:hint="eastAsia"/>
        </w:rPr>
        <w:t>it is noted that</w:t>
      </w:r>
      <w:r>
        <w:t xml:space="preserve"> in addition to</w:t>
      </w:r>
      <w:r>
        <w:rPr>
          <w:rFonts w:hint="eastAsia"/>
        </w:rPr>
        <w:t xml:space="preserve"> the scheduling information of paging message,</w:t>
      </w:r>
      <w:r>
        <w:t xml:space="preserve"> the </w:t>
      </w:r>
      <w:r>
        <w:rPr>
          <w:rFonts w:hint="eastAsia"/>
        </w:rPr>
        <w:t xml:space="preserve">paging DCI </w:t>
      </w:r>
      <w:r>
        <w:t xml:space="preserve">also </w:t>
      </w:r>
      <w:r>
        <w:rPr>
          <w:rFonts w:hint="eastAsia"/>
        </w:rPr>
        <w:t xml:space="preserve">carries other </w:t>
      </w:r>
      <w:r>
        <w:t xml:space="preserve">important </w:t>
      </w:r>
      <w:r>
        <w:rPr>
          <w:rFonts w:hint="eastAsia"/>
        </w:rPr>
        <w:t>information</w:t>
      </w:r>
      <w:r>
        <w:t>,</w:t>
      </w:r>
      <w:r>
        <w:rPr>
          <w:rFonts w:hint="eastAsia"/>
        </w:rPr>
        <w:t xml:space="preserve"> such as </w:t>
      </w:r>
      <w:proofErr w:type="spellStart"/>
      <w:r>
        <w:rPr>
          <w:rFonts w:hint="eastAsia"/>
          <w:i/>
          <w:iCs/>
        </w:rPr>
        <w:t>systemInfoModification</w:t>
      </w:r>
      <w:proofErr w:type="spellEnd"/>
      <w:r>
        <w:rPr>
          <w:rFonts w:hint="eastAsia"/>
        </w:rPr>
        <w:t xml:space="preserve"> and </w:t>
      </w:r>
      <w:proofErr w:type="spellStart"/>
      <w:r>
        <w:rPr>
          <w:rFonts w:hint="eastAsia"/>
          <w:i/>
          <w:iCs/>
        </w:rPr>
        <w:t>etwsAndCmasIndicatio</w:t>
      </w:r>
      <w:r>
        <w:rPr>
          <w:rFonts w:hint="eastAsia"/>
        </w:rPr>
        <w:t>n</w:t>
      </w:r>
      <w:proofErr w:type="spellEnd"/>
      <w:r>
        <w:rPr>
          <w:rFonts w:hint="eastAsia"/>
        </w:rPr>
        <w:t xml:space="preserve"> </w:t>
      </w:r>
      <w:r>
        <w:t xml:space="preserve">which are indicated </w:t>
      </w:r>
      <w:r>
        <w:rPr>
          <w:rFonts w:hint="eastAsia"/>
        </w:rPr>
        <w:t>in short message.</w:t>
      </w:r>
      <w:r>
        <w:t xml:space="preserve"> </w:t>
      </w:r>
      <w:r>
        <w:rPr>
          <w:rFonts w:hint="eastAsia"/>
        </w:rPr>
        <w:t xml:space="preserve">If the PO reception is skipped, the SI change and ETWS information will be omitted, </w:t>
      </w:r>
      <w:r w:rsidR="00235CA8">
        <w:t xml:space="preserve">and </w:t>
      </w:r>
      <w:r>
        <w:rPr>
          <w:rFonts w:hint="eastAsia"/>
        </w:rPr>
        <w:t>UE</w:t>
      </w:r>
      <w:r w:rsidR="00235CA8">
        <w:t xml:space="preserve"> may miss the information update</w:t>
      </w:r>
      <w:r>
        <w:rPr>
          <w:rFonts w:hint="eastAsia"/>
        </w:rPr>
        <w:t xml:space="preserve">. If UE receives paging DCI in each paging cycle to obtain SI change and ETWS information, it will </w:t>
      </w:r>
      <w:r>
        <w:t>decrease</w:t>
      </w:r>
      <w:r>
        <w:rPr>
          <w:rFonts w:hint="eastAsia"/>
        </w:rPr>
        <w:t xml:space="preserve"> the power saving gain. </w:t>
      </w:r>
    </w:p>
    <w:p w:rsidR="0029479C" w:rsidRDefault="00A15FD1">
      <w:pPr>
        <w:spacing w:before="120" w:after="120" w:line="260" w:lineRule="auto"/>
      </w:pPr>
      <w:r>
        <w:rPr>
          <w:rFonts w:hint="eastAsia"/>
        </w:rPr>
        <w:t xml:space="preserve">Therefore, PEI </w:t>
      </w:r>
      <w:r w:rsidR="00235CA8">
        <w:t>should</w:t>
      </w:r>
      <w:r>
        <w:rPr>
          <w:rFonts w:hint="eastAsia"/>
        </w:rPr>
        <w:t xml:space="preserve"> be used to indicate SI change and ETWS information to save</w:t>
      </w:r>
      <w:r>
        <w:t xml:space="preserve"> UE</w:t>
      </w:r>
      <w:r>
        <w:rPr>
          <w:rFonts w:hint="eastAsia"/>
        </w:rPr>
        <w:t xml:space="preserve"> power </w:t>
      </w:r>
      <w:r>
        <w:t>consumption</w:t>
      </w:r>
      <w:r>
        <w:rPr>
          <w:rFonts w:hint="eastAsia"/>
        </w:rPr>
        <w:t xml:space="preserve"> without affecting the existing system functions.</w:t>
      </w:r>
    </w:p>
    <w:p w:rsidR="0029479C" w:rsidRDefault="00A15FD1">
      <w:pPr>
        <w:pStyle w:val="YJ-Proposal"/>
        <w:spacing w:before="120" w:after="120"/>
        <w:rPr>
          <w:i w:val="0"/>
          <w:iCs w:val="0"/>
        </w:rPr>
      </w:pPr>
      <w:bookmarkStart w:id="33" w:name="_Toc83732681"/>
      <w:r>
        <w:rPr>
          <w:rFonts w:hint="eastAsia"/>
          <w:i w:val="0"/>
          <w:iCs w:val="0"/>
        </w:rPr>
        <w:t xml:space="preserve">The </w:t>
      </w:r>
      <w:r>
        <w:rPr>
          <w:rFonts w:hint="eastAsia"/>
          <w:i w:val="0"/>
          <w:iCs w:val="0"/>
          <w:lang w:val="en-US" w:eastAsia="zh-CN"/>
        </w:rPr>
        <w:t>SI change and ETWS</w:t>
      </w:r>
      <w:r>
        <w:rPr>
          <w:rFonts w:hint="eastAsia"/>
          <w:i w:val="0"/>
          <w:iCs w:val="0"/>
        </w:rPr>
        <w:t xml:space="preserve"> information carried by PEI</w:t>
      </w:r>
      <w:r>
        <w:rPr>
          <w:rFonts w:hint="eastAsia"/>
          <w:i w:val="0"/>
          <w:iCs w:val="0"/>
          <w:lang w:val="en-US" w:eastAsia="zh-CN"/>
        </w:rPr>
        <w:t xml:space="preserve"> should be considered.</w:t>
      </w:r>
      <w:bookmarkEnd w:id="33"/>
    </w:p>
    <w:p w:rsidR="0029479C" w:rsidRDefault="0029479C">
      <w:pPr>
        <w:spacing w:before="120" w:after="120" w:line="240" w:lineRule="auto"/>
        <w:rPr>
          <w:lang w:val="en-GB"/>
        </w:rPr>
      </w:pPr>
    </w:p>
    <w:p w:rsidR="0029479C" w:rsidRDefault="00A15FD1">
      <w:pPr>
        <w:pStyle w:val="2"/>
        <w:spacing w:before="120" w:after="120" w:line="260" w:lineRule="auto"/>
        <w:ind w:left="0" w:right="210"/>
        <w:rPr>
          <w:rFonts w:ascii="Times New Roman" w:hAnsi="Times New Roman"/>
          <w:b/>
          <w:bCs/>
          <w:sz w:val="21"/>
          <w:szCs w:val="21"/>
        </w:rPr>
      </w:pPr>
      <w:r>
        <w:rPr>
          <w:rFonts w:ascii="Times New Roman" w:eastAsia="宋体" w:hAnsi="Times New Roman"/>
          <w:b/>
          <w:bCs/>
          <w:sz w:val="21"/>
          <w:szCs w:val="21"/>
        </w:rPr>
        <w:t>Mapping method</w:t>
      </w:r>
    </w:p>
    <w:p w:rsidR="0029479C" w:rsidRDefault="00A15FD1">
      <w:pPr>
        <w:spacing w:before="120" w:after="120" w:line="260" w:lineRule="auto"/>
        <w:rPr>
          <w:szCs w:val="21"/>
        </w:rPr>
      </w:pPr>
      <w:r w:rsidRPr="003565E9">
        <w:rPr>
          <w:szCs w:val="21"/>
        </w:rPr>
        <w:t xml:space="preserve">In 3GPP TSG RAN1 #105-e meeting, the agreement about </w:t>
      </w:r>
      <w:r w:rsidRPr="003565E9">
        <w:t>paging indication to the subgroups</w:t>
      </w:r>
      <w:r w:rsidRPr="003565E9">
        <w:rPr>
          <w:szCs w:val="21"/>
        </w:rPr>
        <w:t xml:space="preserve"> was reached as follows [</w:t>
      </w:r>
      <w:r w:rsidRPr="00CD29F4">
        <w:rPr>
          <w:szCs w:val="21"/>
        </w:rPr>
        <w:t>2</w:t>
      </w:r>
      <w:r w:rsidRPr="003565E9">
        <w:rPr>
          <w:szCs w:val="21"/>
        </w:rPr>
        <w:t>].</w:t>
      </w:r>
    </w:p>
    <w:tbl>
      <w:tblPr>
        <w:tblStyle w:val="ac"/>
        <w:tblW w:w="0" w:type="auto"/>
        <w:jc w:val="center"/>
        <w:tblLook w:val="04A0" w:firstRow="1" w:lastRow="0" w:firstColumn="1" w:lastColumn="0" w:noHBand="0" w:noVBand="1"/>
      </w:tblPr>
      <w:tblGrid>
        <w:gridCol w:w="9700"/>
      </w:tblGrid>
      <w:tr w:rsidR="0029479C">
        <w:trPr>
          <w:trHeight w:val="522"/>
          <w:jc w:val="center"/>
        </w:trPr>
        <w:tc>
          <w:tcPr>
            <w:tcW w:w="9700" w:type="dxa"/>
          </w:tcPr>
          <w:p w:rsidR="0029479C" w:rsidRDefault="00A15FD1">
            <w:pPr>
              <w:spacing w:before="120" w:after="120"/>
              <w:rPr>
                <w:szCs w:val="21"/>
                <w:highlight w:val="green"/>
              </w:rPr>
            </w:pPr>
            <w:r>
              <w:rPr>
                <w:szCs w:val="21"/>
                <w:highlight w:val="green"/>
              </w:rPr>
              <w:t>Agreement:</w:t>
            </w:r>
          </w:p>
          <w:p w:rsidR="0029479C" w:rsidRDefault="00A15FD1">
            <w:pPr>
              <w:spacing w:before="120" w:after="120"/>
              <w:rPr>
                <w:szCs w:val="21"/>
              </w:rPr>
            </w:pPr>
            <w:r>
              <w:rPr>
                <w:szCs w:val="21"/>
              </w:rPr>
              <w:t>For paging indication to the subgroups in a PO,</w:t>
            </w:r>
          </w:p>
          <w:p w:rsidR="0029479C" w:rsidRDefault="00A15FD1">
            <w:pPr>
              <w:pStyle w:val="af1"/>
              <w:numPr>
                <w:ilvl w:val="0"/>
                <w:numId w:val="14"/>
              </w:numPr>
              <w:spacing w:after="120"/>
              <w:rPr>
                <w:sz w:val="21"/>
                <w:szCs w:val="21"/>
              </w:rPr>
            </w:pPr>
            <w:r>
              <w:rPr>
                <w:sz w:val="21"/>
                <w:szCs w:val="21"/>
              </w:rPr>
              <w:t>For PDCCH-based PEI, subgroups in a PO are indicated by one PEI</w:t>
            </w:r>
          </w:p>
          <w:p w:rsidR="0029479C" w:rsidRDefault="00A15FD1">
            <w:pPr>
              <w:pStyle w:val="af1"/>
              <w:numPr>
                <w:ilvl w:val="1"/>
                <w:numId w:val="14"/>
              </w:numPr>
              <w:spacing w:after="120"/>
              <w:rPr>
                <w:sz w:val="21"/>
                <w:szCs w:val="21"/>
              </w:rPr>
            </w:pPr>
            <w:r>
              <w:rPr>
                <w:sz w:val="21"/>
                <w:szCs w:val="21"/>
              </w:rPr>
              <w:t xml:space="preserve">One bit in the DCI payload indicating one UE subgroup is supported </w:t>
            </w:r>
          </w:p>
          <w:p w:rsidR="0029479C" w:rsidRDefault="00A15FD1">
            <w:pPr>
              <w:pStyle w:val="af1"/>
              <w:numPr>
                <w:ilvl w:val="2"/>
                <w:numId w:val="14"/>
              </w:numPr>
              <w:spacing w:after="120"/>
              <w:rPr>
                <w:sz w:val="21"/>
                <w:szCs w:val="21"/>
              </w:rPr>
            </w:pPr>
            <w:r>
              <w:rPr>
                <w:sz w:val="21"/>
                <w:szCs w:val="21"/>
              </w:rPr>
              <w:t>FFS: Whether code-point based mapping is utilized, and, if so, how to map to the subgroups in a PO</w:t>
            </w:r>
          </w:p>
          <w:p w:rsidR="0029479C" w:rsidRDefault="00A15FD1">
            <w:pPr>
              <w:spacing w:before="120" w:after="120" w:line="260" w:lineRule="auto"/>
              <w:rPr>
                <w:szCs w:val="21"/>
              </w:rPr>
            </w:pPr>
            <w:r>
              <w:rPr>
                <w:szCs w:val="21"/>
              </w:rPr>
              <w:t>......</w:t>
            </w:r>
          </w:p>
        </w:tc>
      </w:tr>
    </w:tbl>
    <w:p w:rsidR="0029479C" w:rsidRDefault="00A15FD1">
      <w:pPr>
        <w:spacing w:before="120" w:after="120" w:line="260" w:lineRule="auto"/>
        <w:rPr>
          <w:szCs w:val="21"/>
        </w:rPr>
      </w:pPr>
      <w:r>
        <w:rPr>
          <w:rFonts w:hint="eastAsia"/>
          <w:szCs w:val="21"/>
        </w:rPr>
        <w:t xml:space="preserve">For sub-grouping indication, the bitmap is </w:t>
      </w:r>
      <w:r>
        <w:rPr>
          <w:szCs w:val="21"/>
        </w:rPr>
        <w:t xml:space="preserve">a </w:t>
      </w:r>
      <w:r>
        <w:rPr>
          <w:rFonts w:hint="eastAsia"/>
          <w:szCs w:val="21"/>
        </w:rPr>
        <w:t>simple and</w:t>
      </w:r>
      <w:r>
        <w:rPr>
          <w:szCs w:val="21"/>
        </w:rPr>
        <w:t xml:space="preserve"> straightforward</w:t>
      </w:r>
      <w:r>
        <w:rPr>
          <w:rFonts w:hint="eastAsia"/>
          <w:szCs w:val="21"/>
        </w:rPr>
        <w:t xml:space="preserve"> mapping method. What</w:t>
      </w:r>
      <w:r>
        <w:rPr>
          <w:szCs w:val="21"/>
        </w:rPr>
        <w:t>’</w:t>
      </w:r>
      <w:r>
        <w:rPr>
          <w:rFonts w:hint="eastAsia"/>
          <w:szCs w:val="21"/>
        </w:rPr>
        <w:t>s more, in the case of different configurations (e.g., the number of sub-groups in one PO), the bitmap can be adjusted flexibly. When PEI is associated with multiple POs, each PO correspond</w:t>
      </w:r>
      <w:r>
        <w:rPr>
          <w:szCs w:val="21"/>
        </w:rPr>
        <w:t>s</w:t>
      </w:r>
      <w:r>
        <w:rPr>
          <w:rFonts w:hint="eastAsia"/>
          <w:szCs w:val="21"/>
        </w:rPr>
        <w:t xml:space="preserve"> to a PO reception indication field, where the number of bits </w:t>
      </w:r>
      <w:r>
        <w:rPr>
          <w:szCs w:val="21"/>
        </w:rPr>
        <w:t xml:space="preserve">of the </w:t>
      </w:r>
      <w:r>
        <w:rPr>
          <w:rFonts w:hint="eastAsia"/>
          <w:szCs w:val="21"/>
        </w:rPr>
        <w:t>PO reception indication field depends on the number of sub-groups the PO contained.</w:t>
      </w:r>
    </w:p>
    <w:p w:rsidR="0029479C" w:rsidRDefault="00A15FD1">
      <w:pPr>
        <w:pStyle w:val="YJ-Proposal"/>
        <w:spacing w:before="120" w:after="120"/>
        <w:rPr>
          <w:i w:val="0"/>
          <w:iCs w:val="0"/>
          <w:szCs w:val="21"/>
        </w:rPr>
      </w:pPr>
      <w:bookmarkStart w:id="34" w:name="_Toc18199"/>
      <w:bookmarkStart w:id="35" w:name="_Toc12022"/>
      <w:bookmarkStart w:id="36" w:name="_Toc83732682"/>
      <w:r>
        <w:rPr>
          <w:rFonts w:hint="eastAsia"/>
          <w:i w:val="0"/>
          <w:iCs w:val="0"/>
          <w:szCs w:val="21"/>
          <w:lang w:val="en-US" w:eastAsia="zh-CN"/>
        </w:rPr>
        <w:t>Support</w:t>
      </w:r>
      <w:r>
        <w:rPr>
          <w:rFonts w:hint="eastAsia"/>
          <w:i w:val="0"/>
          <w:iCs w:val="0"/>
          <w:szCs w:val="21"/>
        </w:rPr>
        <w:t xml:space="preserve"> </w:t>
      </w:r>
      <w:r>
        <w:rPr>
          <w:rFonts w:hint="eastAsia"/>
          <w:i w:val="0"/>
          <w:iCs w:val="0"/>
          <w:szCs w:val="21"/>
          <w:lang w:val="en-US" w:eastAsia="zh-CN"/>
        </w:rPr>
        <w:t>bitmap mapping method for sub-grouping indication.</w:t>
      </w:r>
      <w:bookmarkEnd w:id="34"/>
      <w:bookmarkEnd w:id="35"/>
      <w:bookmarkEnd w:id="36"/>
    </w:p>
    <w:p w:rsidR="0029479C" w:rsidRDefault="00A15FD1">
      <w:pPr>
        <w:spacing w:before="120" w:after="120" w:line="260" w:lineRule="auto"/>
        <w:rPr>
          <w:szCs w:val="21"/>
        </w:rPr>
      </w:pPr>
      <w:r>
        <w:rPr>
          <w:rFonts w:hint="eastAsia"/>
          <w:szCs w:val="21"/>
        </w:rPr>
        <w:t>For PDCCH-based PEI, different functions can be indicated by different bit fields.</w:t>
      </w:r>
      <w:r>
        <w:rPr>
          <w:szCs w:val="21"/>
        </w:rPr>
        <w:t xml:space="preserve"> As shown in Figure 2, </w:t>
      </w:r>
      <w:r w:rsidR="003565E9">
        <w:rPr>
          <w:szCs w:val="21"/>
        </w:rPr>
        <w:t xml:space="preserve">the information fields including </w:t>
      </w:r>
      <w:r>
        <w:rPr>
          <w:szCs w:val="21"/>
        </w:rPr>
        <w:t xml:space="preserve">the TRS availability bit field, SI change bit field, </w:t>
      </w:r>
      <w:r w:rsidR="003565E9">
        <w:rPr>
          <w:szCs w:val="21"/>
        </w:rPr>
        <w:t xml:space="preserve">and </w:t>
      </w:r>
      <w:r>
        <w:rPr>
          <w:szCs w:val="21"/>
        </w:rPr>
        <w:t xml:space="preserve">ETWS bit field can be common bit field, indicating the operations of all UEs that receive the PEI. </w:t>
      </w:r>
      <w:r>
        <w:rPr>
          <w:rFonts w:hint="eastAsia"/>
          <w:szCs w:val="21"/>
        </w:rPr>
        <w:t xml:space="preserve">Each bit in PO reception bit field </w:t>
      </w:r>
      <w:r>
        <w:rPr>
          <w:szCs w:val="21"/>
        </w:rPr>
        <w:t>corresponds to one UE sub-group, which indicates the UE belonging to the sub-group whether needs to monitor the PO</w:t>
      </w:r>
      <w:r w:rsidR="003565E9">
        <w:rPr>
          <w:szCs w:val="21"/>
        </w:rPr>
        <w:t xml:space="preserve"> or not</w:t>
      </w:r>
      <w:r>
        <w:rPr>
          <w:szCs w:val="21"/>
        </w:rPr>
        <w:t xml:space="preserve">. When PEI is associated with multiple POs, each PO corresponds to a </w:t>
      </w:r>
      <w:r>
        <w:rPr>
          <w:rFonts w:hint="eastAsia"/>
          <w:szCs w:val="21"/>
        </w:rPr>
        <w:t>sub-</w:t>
      </w:r>
      <w:r>
        <w:rPr>
          <w:szCs w:val="21"/>
        </w:rPr>
        <w:t xml:space="preserve">bit field in </w:t>
      </w:r>
      <w:r>
        <w:rPr>
          <w:rFonts w:hint="eastAsia"/>
          <w:szCs w:val="21"/>
        </w:rPr>
        <w:t>PO reception bit field</w:t>
      </w:r>
      <w:r>
        <w:rPr>
          <w:szCs w:val="21"/>
        </w:rPr>
        <w:t xml:space="preserve">. To </w:t>
      </w:r>
      <w:r>
        <w:rPr>
          <w:rFonts w:hint="eastAsia"/>
          <w:szCs w:val="21"/>
        </w:rPr>
        <w:t>ensure that</w:t>
      </w:r>
      <w:r>
        <w:rPr>
          <w:szCs w:val="21"/>
        </w:rPr>
        <w:t xml:space="preserve"> UE </w:t>
      </w:r>
      <w:r>
        <w:rPr>
          <w:rFonts w:hint="eastAsia"/>
          <w:szCs w:val="21"/>
        </w:rPr>
        <w:t>can</w:t>
      </w:r>
      <w:r>
        <w:rPr>
          <w:szCs w:val="21"/>
        </w:rPr>
        <w:t xml:space="preserve"> locate the information carried by PEI accurately, the start and the length of the bit </w:t>
      </w:r>
      <w:r>
        <w:rPr>
          <w:rFonts w:hint="eastAsia"/>
          <w:szCs w:val="21"/>
        </w:rPr>
        <w:t xml:space="preserve">field </w:t>
      </w:r>
      <w:r>
        <w:rPr>
          <w:szCs w:val="21"/>
        </w:rPr>
        <w:t>must be configured to</w:t>
      </w:r>
      <w:r>
        <w:rPr>
          <w:rFonts w:hint="eastAsia"/>
          <w:szCs w:val="21"/>
        </w:rPr>
        <w:t xml:space="preserve"> UE</w:t>
      </w:r>
      <w:r>
        <w:rPr>
          <w:szCs w:val="21"/>
        </w:rPr>
        <w:t xml:space="preserve">. </w:t>
      </w:r>
    </w:p>
    <w:p w:rsidR="0029479C" w:rsidRDefault="00A15FD1">
      <w:pPr>
        <w:spacing w:before="120" w:after="120" w:line="260" w:lineRule="auto"/>
        <w:jc w:val="center"/>
      </w:pPr>
      <w:r>
        <w:rPr>
          <w:noProof/>
        </w:rPr>
        <w:drawing>
          <wp:inline distT="0" distB="0" distL="114300" distR="114300" wp14:anchorId="6E8BA112" wp14:editId="7DAF1A4F">
            <wp:extent cx="4376420" cy="1350010"/>
            <wp:effectExtent l="0" t="0" r="5080" b="25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4376420" cy="1350010"/>
                    </a:xfrm>
                    <a:prstGeom prst="rect">
                      <a:avLst/>
                    </a:prstGeom>
                    <a:noFill/>
                    <a:ln>
                      <a:noFill/>
                    </a:ln>
                  </pic:spPr>
                </pic:pic>
              </a:graphicData>
            </a:graphic>
          </wp:inline>
        </w:drawing>
      </w:r>
    </w:p>
    <w:p w:rsidR="0029479C" w:rsidRDefault="00A15FD1">
      <w:pPr>
        <w:spacing w:before="120" w:after="120"/>
        <w:jc w:val="center"/>
      </w:pPr>
      <w:r>
        <w:rPr>
          <w:rFonts w:hint="eastAsia"/>
          <w:szCs w:val="21"/>
        </w:rPr>
        <w:t>Figure 2</w:t>
      </w:r>
      <w:r>
        <w:rPr>
          <w:rFonts w:hint="eastAsia"/>
        </w:rPr>
        <w:t xml:space="preserve"> </w:t>
      </w:r>
      <w:r>
        <w:t>Bit</w:t>
      </w:r>
      <w:r>
        <w:rPr>
          <w:rFonts w:hint="eastAsia"/>
        </w:rPr>
        <w:t xml:space="preserve"> structure of PDCCH</w:t>
      </w:r>
      <w:r>
        <w:t>-</w:t>
      </w:r>
      <w:r>
        <w:rPr>
          <w:rFonts w:hint="eastAsia"/>
        </w:rPr>
        <w:t>based PEI</w:t>
      </w:r>
    </w:p>
    <w:p w:rsidR="0029479C" w:rsidRDefault="0029479C">
      <w:pPr>
        <w:spacing w:before="120" w:after="120"/>
      </w:pPr>
    </w:p>
    <w:p w:rsidR="0029479C" w:rsidRDefault="00A15FD1">
      <w:pPr>
        <w:pStyle w:val="2"/>
        <w:spacing w:before="120" w:after="120" w:line="260" w:lineRule="auto"/>
        <w:ind w:left="0" w:right="210"/>
        <w:rPr>
          <w:rFonts w:ascii="Times New Roman" w:hAnsi="Times New Roman"/>
          <w:b/>
          <w:bCs/>
          <w:sz w:val="22"/>
          <w:szCs w:val="22"/>
        </w:rPr>
      </w:pPr>
      <w:r>
        <w:rPr>
          <w:rFonts w:ascii="Times New Roman" w:eastAsia="宋体" w:hAnsi="Times New Roman" w:hint="eastAsia"/>
          <w:b/>
          <w:bCs/>
          <w:sz w:val="22"/>
          <w:szCs w:val="22"/>
        </w:rPr>
        <w:t>PEI occasion(s)</w:t>
      </w:r>
    </w:p>
    <w:p w:rsidR="0029479C" w:rsidRDefault="00A15FD1">
      <w:pPr>
        <w:spacing w:before="120" w:after="120"/>
        <w:rPr>
          <w:szCs w:val="21"/>
        </w:rPr>
      </w:pPr>
      <w:r>
        <w:rPr>
          <w:rFonts w:hint="eastAsia"/>
          <w:szCs w:val="21"/>
        </w:rPr>
        <w:t xml:space="preserve">As shown in our </w:t>
      </w:r>
      <w:r w:rsidRPr="00751A1E">
        <w:rPr>
          <w:szCs w:val="21"/>
        </w:rPr>
        <w:t xml:space="preserve">contribution </w:t>
      </w:r>
      <w:r w:rsidRPr="00CD29F4">
        <w:rPr>
          <w:szCs w:val="21"/>
        </w:rPr>
        <w:t>[4]</w:t>
      </w:r>
      <w:r w:rsidRPr="00751A1E">
        <w:rPr>
          <w:szCs w:val="21"/>
        </w:rPr>
        <w:t>, PEI can be located in different positions, such as, before the SSB, after the SSB, or close to the PO. However, the power saving</w:t>
      </w:r>
      <w:r>
        <w:rPr>
          <w:rFonts w:hint="eastAsia"/>
          <w:szCs w:val="21"/>
        </w:rPr>
        <w:t xml:space="preserve"> gain from PEI in different positions varies greatly. According to the simulation results in [4], when there are SSB occasion</w:t>
      </w:r>
      <w:r>
        <w:rPr>
          <w:szCs w:val="21"/>
        </w:rPr>
        <w:t>s</w:t>
      </w:r>
      <w:r>
        <w:rPr>
          <w:rFonts w:hint="eastAsia"/>
          <w:szCs w:val="21"/>
        </w:rPr>
        <w:t xml:space="preserve"> between the PEI and the PO and the occasion</w:t>
      </w:r>
      <w:r>
        <w:rPr>
          <w:szCs w:val="21"/>
        </w:rPr>
        <w:t>s</w:t>
      </w:r>
      <w:r>
        <w:rPr>
          <w:rFonts w:hint="eastAsia"/>
          <w:szCs w:val="21"/>
        </w:rPr>
        <w:t xml:space="preserve"> of PEI burst </w:t>
      </w:r>
      <w:r>
        <w:rPr>
          <w:szCs w:val="21"/>
        </w:rPr>
        <w:t xml:space="preserve">are </w:t>
      </w:r>
      <w:r>
        <w:rPr>
          <w:rFonts w:hint="eastAsia"/>
          <w:szCs w:val="21"/>
        </w:rPr>
        <w:t>close to and after a</w:t>
      </w:r>
      <w:r w:rsidR="00751A1E">
        <w:rPr>
          <w:szCs w:val="21"/>
        </w:rPr>
        <w:t>n</w:t>
      </w:r>
      <w:r>
        <w:rPr>
          <w:rFonts w:hint="eastAsia"/>
          <w:szCs w:val="21"/>
        </w:rPr>
        <w:t xml:space="preserve"> SS</w:t>
      </w:r>
      <w:r>
        <w:rPr>
          <w:szCs w:val="21"/>
        </w:rPr>
        <w:t>B</w:t>
      </w:r>
      <w:r>
        <w:rPr>
          <w:rFonts w:hint="eastAsia"/>
          <w:szCs w:val="21"/>
        </w:rPr>
        <w:t xml:space="preserve">, UE can obtain larger power saving gain. </w:t>
      </w:r>
    </w:p>
    <w:p w:rsidR="0029479C" w:rsidRDefault="00A15FD1">
      <w:pPr>
        <w:spacing w:before="120" w:after="120"/>
      </w:pPr>
      <w:r>
        <w:rPr>
          <w:rFonts w:hint="eastAsia"/>
          <w:szCs w:val="21"/>
        </w:rPr>
        <w:t>What</w:t>
      </w:r>
      <w:r>
        <w:rPr>
          <w:szCs w:val="21"/>
        </w:rPr>
        <w:t>’</w:t>
      </w:r>
      <w:r>
        <w:rPr>
          <w:rFonts w:hint="eastAsia"/>
          <w:szCs w:val="21"/>
        </w:rPr>
        <w:t>s more, a PEI burst with multi-beam should be considered</w:t>
      </w:r>
      <w:r>
        <w:rPr>
          <w:szCs w:val="21"/>
        </w:rPr>
        <w:t>, especially for FR2</w:t>
      </w:r>
      <w:r>
        <w:rPr>
          <w:rFonts w:hint="eastAsia"/>
          <w:szCs w:val="21"/>
        </w:rPr>
        <w:t xml:space="preserve">. Same as paging PDCCH, PEI can be transmitted </w:t>
      </w:r>
      <w:r>
        <w:rPr>
          <w:szCs w:val="21"/>
        </w:rPr>
        <w:t xml:space="preserve">in </w:t>
      </w:r>
      <w:r>
        <w:rPr>
          <w:rFonts w:hint="eastAsia"/>
          <w:szCs w:val="21"/>
        </w:rPr>
        <w:t>more than one occasion, where each occasion ha</w:t>
      </w:r>
      <w:r>
        <w:rPr>
          <w:szCs w:val="21"/>
        </w:rPr>
        <w:t>s</w:t>
      </w:r>
      <w:r>
        <w:rPr>
          <w:rFonts w:hint="eastAsia"/>
          <w:szCs w:val="21"/>
        </w:rPr>
        <w:t xml:space="preserve"> a predetermined QCL information. </w:t>
      </w:r>
      <w:r>
        <w:t>T</w:t>
      </w:r>
      <w:r>
        <w:rPr>
          <w:rFonts w:hint="eastAsia"/>
        </w:rPr>
        <w:t>he QCL information of PEI</w:t>
      </w:r>
      <w:r>
        <w:t xml:space="preserve"> in </w:t>
      </w:r>
      <w:r>
        <w:rPr>
          <w:rFonts w:hint="eastAsia"/>
          <w:szCs w:val="21"/>
        </w:rPr>
        <w:t>each occasion</w:t>
      </w:r>
      <w:r>
        <w:rPr>
          <w:rFonts w:hint="eastAsia"/>
        </w:rPr>
        <w:t xml:space="preserve"> can be associated with a</w:t>
      </w:r>
      <w:r>
        <w:t>n</w:t>
      </w:r>
      <w:r>
        <w:rPr>
          <w:rFonts w:hint="eastAsia"/>
        </w:rPr>
        <w:t xml:space="preserve"> SSB.</w:t>
      </w:r>
    </w:p>
    <w:p w:rsidR="0029479C" w:rsidRDefault="00A15FD1">
      <w:pPr>
        <w:pStyle w:val="YJ-Observation"/>
        <w:spacing w:before="120" w:after="120"/>
        <w:jc w:val="both"/>
        <w:rPr>
          <w:i w:val="0"/>
          <w:iCs w:val="0"/>
          <w:sz w:val="21"/>
          <w:szCs w:val="21"/>
          <w:lang w:val="en-US" w:eastAsia="zh-CN"/>
        </w:rPr>
      </w:pPr>
      <w:bookmarkStart w:id="37" w:name="_Toc16258"/>
      <w:bookmarkStart w:id="38" w:name="_Toc19523"/>
      <w:bookmarkStart w:id="39" w:name="_Toc27684"/>
      <w:bookmarkStart w:id="40" w:name="_Toc18955"/>
      <w:bookmarkStart w:id="41" w:name="_Toc3434"/>
      <w:bookmarkStart w:id="42" w:name="_Toc5420"/>
      <w:bookmarkStart w:id="43" w:name="_Toc83732675"/>
      <w:bookmarkStart w:id="44" w:name="_Toc8410"/>
      <w:bookmarkStart w:id="45" w:name="_Toc3837"/>
      <w:bookmarkStart w:id="46" w:name="_Toc11835"/>
      <w:bookmarkStart w:id="47" w:name="_Toc22759"/>
      <w:bookmarkStart w:id="48" w:name="_Toc23246"/>
      <w:bookmarkStart w:id="49" w:name="_Toc22246"/>
      <w:bookmarkStart w:id="50" w:name="_Toc31575"/>
      <w:bookmarkStart w:id="51" w:name="_Toc9301"/>
      <w:bookmarkStart w:id="52" w:name="_Toc3039"/>
      <w:bookmarkStart w:id="53" w:name="_Toc17421"/>
      <w:bookmarkStart w:id="54" w:name="_Toc29653"/>
      <w:bookmarkStart w:id="55" w:name="_Toc79161241"/>
      <w:r>
        <w:rPr>
          <w:rFonts w:hint="eastAsia"/>
          <w:i w:val="0"/>
          <w:iCs w:val="0"/>
          <w:sz w:val="21"/>
          <w:szCs w:val="21"/>
          <w:lang w:val="en-US" w:eastAsia="zh-CN"/>
        </w:rPr>
        <w:t>M</w:t>
      </w:r>
      <w:r>
        <w:rPr>
          <w:i w:val="0"/>
          <w:iCs w:val="0"/>
          <w:sz w:val="21"/>
          <w:szCs w:val="21"/>
          <w:lang w:val="en-US" w:eastAsia="zh-CN"/>
        </w:rPr>
        <w:t xml:space="preserve">ulti-beam </w:t>
      </w:r>
      <w:r>
        <w:rPr>
          <w:rFonts w:hint="eastAsia"/>
          <w:i w:val="0"/>
          <w:iCs w:val="0"/>
          <w:sz w:val="21"/>
          <w:szCs w:val="21"/>
          <w:lang w:val="en-US" w:eastAsia="zh-CN"/>
        </w:rPr>
        <w:t xml:space="preserve">based transmission should </w:t>
      </w:r>
      <w:r>
        <w:rPr>
          <w:i w:val="0"/>
          <w:iCs w:val="0"/>
          <w:sz w:val="21"/>
          <w:szCs w:val="21"/>
          <w:lang w:val="en-US" w:eastAsia="zh-CN"/>
        </w:rPr>
        <w:t>be supported</w:t>
      </w:r>
      <w:r>
        <w:rPr>
          <w:rFonts w:hint="eastAsia"/>
          <w:i w:val="0"/>
          <w:iCs w:val="0"/>
          <w:sz w:val="21"/>
          <w:szCs w:val="21"/>
          <w:lang w:val="en-US" w:eastAsia="zh-CN"/>
        </w:rPr>
        <w:t xml:space="preserve"> </w:t>
      </w:r>
      <w:r>
        <w:rPr>
          <w:i w:val="0"/>
          <w:iCs w:val="0"/>
          <w:sz w:val="21"/>
          <w:szCs w:val="21"/>
          <w:lang w:val="en-US" w:eastAsia="zh-CN"/>
        </w:rPr>
        <w:t>for</w:t>
      </w:r>
      <w:r>
        <w:rPr>
          <w:rFonts w:hint="eastAsia"/>
          <w:i w:val="0"/>
          <w:iCs w:val="0"/>
          <w:sz w:val="21"/>
          <w:szCs w:val="21"/>
          <w:lang w:val="en-US" w:eastAsia="zh-CN"/>
        </w:rPr>
        <w:t xml:space="preserve"> PEI, and the QCL information of PEI</w:t>
      </w:r>
      <w:r>
        <w:rPr>
          <w:i w:val="0"/>
          <w:iCs w:val="0"/>
          <w:sz w:val="21"/>
          <w:szCs w:val="21"/>
          <w:lang w:val="en-US" w:eastAsia="zh-CN"/>
        </w:rPr>
        <w:t xml:space="preserve"> in </w:t>
      </w:r>
      <w:r>
        <w:rPr>
          <w:rFonts w:hint="eastAsia"/>
          <w:i w:val="0"/>
          <w:szCs w:val="21"/>
        </w:rPr>
        <w:t>each occasion</w:t>
      </w:r>
      <w:r>
        <w:rPr>
          <w:rFonts w:hint="eastAsia"/>
          <w:i w:val="0"/>
          <w:iCs w:val="0"/>
          <w:sz w:val="21"/>
          <w:szCs w:val="21"/>
          <w:lang w:val="en-US" w:eastAsia="zh-CN"/>
        </w:rPr>
        <w:t xml:space="preserve"> should be associated with a</w:t>
      </w:r>
      <w:r>
        <w:rPr>
          <w:i w:val="0"/>
          <w:iCs w:val="0"/>
          <w:sz w:val="21"/>
          <w:szCs w:val="21"/>
          <w:lang w:val="en-US" w:eastAsia="zh-CN"/>
        </w:rPr>
        <w:t>n</w:t>
      </w:r>
      <w:r>
        <w:rPr>
          <w:rFonts w:hint="eastAsia"/>
          <w:i w:val="0"/>
          <w:iCs w:val="0"/>
          <w:sz w:val="21"/>
          <w:szCs w:val="21"/>
          <w:lang w:val="en-US" w:eastAsia="zh-CN"/>
        </w:rPr>
        <w:t xml:space="preserve"> SSB.</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29479C" w:rsidRDefault="00A15FD1">
      <w:pPr>
        <w:spacing w:before="120" w:after="120"/>
        <w:rPr>
          <w:szCs w:val="21"/>
        </w:rPr>
      </w:pPr>
      <w:r>
        <w:rPr>
          <w:szCs w:val="21"/>
        </w:rPr>
        <w:t>For the</w:t>
      </w:r>
      <w:r>
        <w:rPr>
          <w:rFonts w:hint="eastAsia"/>
          <w:szCs w:val="21"/>
        </w:rPr>
        <w:t xml:space="preserve"> determin</w:t>
      </w:r>
      <w:r>
        <w:rPr>
          <w:szCs w:val="21"/>
        </w:rPr>
        <w:t>ation of</w:t>
      </w:r>
      <w:r>
        <w:rPr>
          <w:rFonts w:hint="eastAsia"/>
          <w:szCs w:val="21"/>
        </w:rPr>
        <w:t xml:space="preserve"> PEI position, a window for PEI transmission/reception prior to PO </w:t>
      </w:r>
      <w:r>
        <w:rPr>
          <w:szCs w:val="21"/>
        </w:rPr>
        <w:t>can be considered</w:t>
      </w:r>
      <w:r>
        <w:rPr>
          <w:rFonts w:hint="eastAsia"/>
          <w:szCs w:val="21"/>
        </w:rPr>
        <w:t xml:space="preserve"> to reduce UE power consumption of PEI detection. UE only </w:t>
      </w:r>
      <w:r>
        <w:rPr>
          <w:szCs w:val="21"/>
        </w:rPr>
        <w:t xml:space="preserve">need to </w:t>
      </w:r>
      <w:r>
        <w:rPr>
          <w:rFonts w:hint="eastAsia"/>
          <w:szCs w:val="21"/>
        </w:rPr>
        <w:t>detect PEI within the PEI window. For exampl</w:t>
      </w:r>
      <w:r>
        <w:rPr>
          <w:szCs w:val="21"/>
        </w:rPr>
        <w:t>e</w:t>
      </w:r>
      <w:r>
        <w:rPr>
          <w:rFonts w:hint="eastAsia"/>
          <w:szCs w:val="21"/>
        </w:rPr>
        <w:t xml:space="preserve">, the position of the PEI window can be determined by </w:t>
      </w:r>
      <w:r>
        <w:rPr>
          <w:szCs w:val="21"/>
        </w:rPr>
        <w:t>an</w:t>
      </w:r>
      <w:r>
        <w:rPr>
          <w:rFonts w:hint="eastAsia"/>
          <w:szCs w:val="21"/>
        </w:rPr>
        <w:t xml:space="preserve"> offset between the PEI window and the PO, the duration of the PEI window, which is shown in Figure 3. When PEI is associated with multiple POs, each PO should correspond to a</w:t>
      </w:r>
      <w:r>
        <w:rPr>
          <w:szCs w:val="21"/>
        </w:rPr>
        <w:t xml:space="preserve"> separate </w:t>
      </w:r>
      <w:r>
        <w:rPr>
          <w:rFonts w:hint="eastAsia"/>
          <w:szCs w:val="21"/>
        </w:rPr>
        <w:t xml:space="preserve">offset to ensure that the PEI window </w:t>
      </w:r>
      <w:r>
        <w:rPr>
          <w:szCs w:val="21"/>
        </w:rPr>
        <w:t>is</w:t>
      </w:r>
      <w:r>
        <w:rPr>
          <w:rFonts w:hint="eastAsia"/>
          <w:szCs w:val="21"/>
        </w:rPr>
        <w:t xml:space="preserve"> same </w:t>
      </w:r>
      <w:r>
        <w:rPr>
          <w:szCs w:val="21"/>
        </w:rPr>
        <w:t>for UEs monitoring different POs</w:t>
      </w:r>
      <w:r>
        <w:rPr>
          <w:rFonts w:hint="eastAsia"/>
          <w:szCs w:val="21"/>
        </w:rPr>
        <w:t xml:space="preserve">, so that </w:t>
      </w:r>
      <w:r>
        <w:rPr>
          <w:szCs w:val="21"/>
        </w:rPr>
        <w:t>these</w:t>
      </w:r>
      <w:r>
        <w:rPr>
          <w:rFonts w:hint="eastAsia"/>
          <w:szCs w:val="21"/>
        </w:rPr>
        <w:t xml:space="preserve"> </w:t>
      </w:r>
      <w:r>
        <w:rPr>
          <w:szCs w:val="21"/>
        </w:rPr>
        <w:t>UEs</w:t>
      </w:r>
      <w:r>
        <w:rPr>
          <w:rFonts w:hint="eastAsia"/>
          <w:szCs w:val="21"/>
        </w:rPr>
        <w:t xml:space="preserve"> </w:t>
      </w:r>
      <w:r>
        <w:rPr>
          <w:szCs w:val="21"/>
        </w:rPr>
        <w:t>will</w:t>
      </w:r>
      <w:r>
        <w:rPr>
          <w:rFonts w:hint="eastAsia"/>
          <w:szCs w:val="21"/>
        </w:rPr>
        <w:t xml:space="preserve"> monitor the same PEI. </w:t>
      </w:r>
    </w:p>
    <w:p w:rsidR="0029479C" w:rsidRDefault="00A15FD1">
      <w:pPr>
        <w:spacing w:before="120" w:after="120"/>
        <w:jc w:val="center"/>
      </w:pPr>
      <w:r>
        <w:rPr>
          <w:noProof/>
        </w:rPr>
        <w:drawing>
          <wp:inline distT="0" distB="0" distL="114300" distR="114300">
            <wp:extent cx="3228975" cy="1195070"/>
            <wp:effectExtent l="0" t="0" r="9525" b="508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a:stretch>
                      <a:fillRect/>
                    </a:stretch>
                  </pic:blipFill>
                  <pic:spPr>
                    <a:xfrm>
                      <a:off x="0" y="0"/>
                      <a:ext cx="3228975" cy="1195070"/>
                    </a:xfrm>
                    <a:prstGeom prst="rect">
                      <a:avLst/>
                    </a:prstGeom>
                    <a:noFill/>
                    <a:ln>
                      <a:noFill/>
                    </a:ln>
                  </pic:spPr>
                </pic:pic>
              </a:graphicData>
            </a:graphic>
          </wp:inline>
        </w:drawing>
      </w:r>
    </w:p>
    <w:p w:rsidR="0029479C" w:rsidRDefault="00A15FD1">
      <w:pPr>
        <w:spacing w:before="120" w:after="120"/>
        <w:jc w:val="center"/>
      </w:pPr>
      <w:r>
        <w:rPr>
          <w:rFonts w:hint="eastAsia"/>
          <w:szCs w:val="21"/>
        </w:rPr>
        <w:t>Figure 3</w:t>
      </w:r>
      <w:r>
        <w:rPr>
          <w:rFonts w:hint="eastAsia"/>
        </w:rPr>
        <w:t xml:space="preserve"> Determine the PEI position via PEI window</w:t>
      </w:r>
      <w:r>
        <w:t xml:space="preserve"> </w:t>
      </w:r>
      <w:r>
        <w:rPr>
          <w:rFonts w:hint="eastAsia"/>
        </w:rPr>
        <w:t>(multiple offset</w:t>
      </w:r>
      <w:r>
        <w:t>s</w:t>
      </w:r>
      <w:r>
        <w:rPr>
          <w:rFonts w:hint="eastAsia"/>
        </w:rPr>
        <w:t>)</w:t>
      </w:r>
    </w:p>
    <w:p w:rsidR="0029479C" w:rsidRDefault="0029479C">
      <w:pPr>
        <w:spacing w:before="120" w:after="120"/>
        <w:rPr>
          <w:szCs w:val="21"/>
        </w:rPr>
      </w:pPr>
    </w:p>
    <w:p w:rsidR="0029479C" w:rsidRDefault="00A15FD1">
      <w:pPr>
        <w:spacing w:before="120" w:after="120"/>
        <w:rPr>
          <w:szCs w:val="21"/>
        </w:rPr>
      </w:pPr>
      <w:r>
        <w:rPr>
          <w:rFonts w:hint="eastAsia"/>
          <w:szCs w:val="21"/>
        </w:rPr>
        <w:t xml:space="preserve">However, as the configuration of PEI window is broadcasted in SIB, instead of dedicated signaling. It will increase signaling complexity to map the multiple offsets to the corresponding </w:t>
      </w:r>
      <w:proofErr w:type="spellStart"/>
      <w:r>
        <w:rPr>
          <w:rFonts w:hint="eastAsia"/>
          <w:szCs w:val="21"/>
        </w:rPr>
        <w:t>POs.</w:t>
      </w:r>
      <w:proofErr w:type="spellEnd"/>
      <w:r>
        <w:rPr>
          <w:rFonts w:hint="eastAsia"/>
          <w:szCs w:val="21"/>
        </w:rPr>
        <w:t xml:space="preserve"> Hence, another implementation of PEI </w:t>
      </w:r>
      <w:r>
        <w:rPr>
          <w:szCs w:val="21"/>
        </w:rPr>
        <w:t xml:space="preserve">window </w:t>
      </w:r>
      <w:r>
        <w:rPr>
          <w:rFonts w:hint="eastAsia"/>
          <w:szCs w:val="21"/>
        </w:rPr>
        <w:t xml:space="preserve">is shown in Figure 4, wherein </w:t>
      </w:r>
      <w:r>
        <w:rPr>
          <w:szCs w:val="21"/>
        </w:rPr>
        <w:t>the PEI window is defined in relative to a</w:t>
      </w:r>
      <w:r>
        <w:rPr>
          <w:rFonts w:hint="eastAsia"/>
          <w:szCs w:val="21"/>
        </w:rPr>
        <w:t xml:space="preserve"> reference point. The reference point can be an absolute position. For example, the reference point can be the start position of the PF. In this way, only one offset between the PEI window and the reference point </w:t>
      </w:r>
      <w:r>
        <w:rPr>
          <w:szCs w:val="21"/>
        </w:rPr>
        <w:t xml:space="preserve">are needed to determine the PEI occasion, </w:t>
      </w:r>
      <w:r>
        <w:rPr>
          <w:rFonts w:hint="eastAsia"/>
          <w:szCs w:val="21"/>
        </w:rPr>
        <w:t xml:space="preserve">which can reduce the configuration resource overhead effectively. </w:t>
      </w:r>
      <w:r>
        <w:rPr>
          <w:szCs w:val="21"/>
        </w:rPr>
        <w:t xml:space="preserve">As shown in </w:t>
      </w:r>
      <w:r>
        <w:rPr>
          <w:rFonts w:hint="eastAsia"/>
          <w:szCs w:val="21"/>
        </w:rPr>
        <w:t>in Figure 4</w:t>
      </w:r>
      <w:r>
        <w:rPr>
          <w:szCs w:val="21"/>
        </w:rPr>
        <w:t xml:space="preserve">, </w:t>
      </w:r>
      <w:r>
        <w:rPr>
          <w:rFonts w:hint="eastAsia"/>
          <w:szCs w:val="21"/>
        </w:rPr>
        <w:t xml:space="preserve">UEs corresponding to multiple POs </w:t>
      </w:r>
      <w:r>
        <w:rPr>
          <w:szCs w:val="21"/>
        </w:rPr>
        <w:t>will</w:t>
      </w:r>
      <w:r>
        <w:rPr>
          <w:rFonts w:hint="eastAsia"/>
          <w:szCs w:val="21"/>
        </w:rPr>
        <w:t xml:space="preserve"> receive the same PE</w:t>
      </w:r>
      <w:r>
        <w:rPr>
          <w:szCs w:val="21"/>
        </w:rPr>
        <w:t>I</w:t>
      </w:r>
      <w:r>
        <w:rPr>
          <w:rFonts w:hint="eastAsia"/>
          <w:szCs w:val="21"/>
        </w:rPr>
        <w:t>.</w:t>
      </w:r>
    </w:p>
    <w:p w:rsidR="0029479C" w:rsidRDefault="00A15FD1">
      <w:pPr>
        <w:spacing w:before="120" w:after="120"/>
      </w:pPr>
      <w:r>
        <w:rPr>
          <w:rFonts w:hint="eastAsia"/>
          <w:szCs w:val="21"/>
        </w:rPr>
        <w:t>When there are multiple reference points</w:t>
      </w:r>
      <w:r>
        <w:rPr>
          <w:szCs w:val="21"/>
        </w:rPr>
        <w:t xml:space="preserve"> for different PEI</w:t>
      </w:r>
      <w:r>
        <w:rPr>
          <w:rFonts w:hint="eastAsia"/>
          <w:szCs w:val="21"/>
        </w:rPr>
        <w:t xml:space="preserve"> in a DRX cycle, UE can select the nearest reference point or the first reference point before the </w:t>
      </w:r>
      <w:r>
        <w:rPr>
          <w:szCs w:val="21"/>
        </w:rPr>
        <w:t xml:space="preserve">monitored </w:t>
      </w:r>
      <w:r>
        <w:rPr>
          <w:rFonts w:hint="eastAsia"/>
          <w:szCs w:val="21"/>
        </w:rPr>
        <w:t>PO.</w:t>
      </w:r>
    </w:p>
    <w:p w:rsidR="0029479C" w:rsidRDefault="00A15FD1">
      <w:pPr>
        <w:spacing w:before="120" w:after="120"/>
        <w:jc w:val="center"/>
      </w:pPr>
      <w:r>
        <w:rPr>
          <w:noProof/>
        </w:rPr>
        <w:drawing>
          <wp:inline distT="0" distB="0" distL="114300" distR="114300">
            <wp:extent cx="3212465" cy="1135380"/>
            <wp:effectExtent l="0" t="0" r="6985" b="762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2"/>
                    <a:stretch>
                      <a:fillRect/>
                    </a:stretch>
                  </pic:blipFill>
                  <pic:spPr>
                    <a:xfrm>
                      <a:off x="0" y="0"/>
                      <a:ext cx="3212465" cy="1135380"/>
                    </a:xfrm>
                    <a:prstGeom prst="rect">
                      <a:avLst/>
                    </a:prstGeom>
                    <a:noFill/>
                    <a:ln>
                      <a:noFill/>
                    </a:ln>
                  </pic:spPr>
                </pic:pic>
              </a:graphicData>
            </a:graphic>
          </wp:inline>
        </w:drawing>
      </w:r>
    </w:p>
    <w:p w:rsidR="0029479C" w:rsidRDefault="00A15FD1">
      <w:pPr>
        <w:spacing w:before="120" w:after="120"/>
        <w:jc w:val="center"/>
      </w:pPr>
      <w:r>
        <w:rPr>
          <w:rFonts w:hint="eastAsia"/>
          <w:szCs w:val="21"/>
        </w:rPr>
        <w:t>Figure 4</w:t>
      </w:r>
      <w:r>
        <w:rPr>
          <w:rFonts w:hint="eastAsia"/>
        </w:rPr>
        <w:t xml:space="preserve"> Determine the PEI position via PEI window</w:t>
      </w:r>
      <w:r>
        <w:t xml:space="preserve"> </w:t>
      </w:r>
      <w:r>
        <w:rPr>
          <w:rFonts w:hint="eastAsia"/>
        </w:rPr>
        <w:t>(reference point)</w:t>
      </w:r>
    </w:p>
    <w:p w:rsidR="0029479C" w:rsidRDefault="0029479C">
      <w:pPr>
        <w:spacing w:before="120" w:after="120"/>
        <w:rPr>
          <w:szCs w:val="21"/>
        </w:rPr>
      </w:pPr>
    </w:p>
    <w:p w:rsidR="0029479C" w:rsidRDefault="00A15FD1">
      <w:pPr>
        <w:pStyle w:val="YJ-Proposal"/>
        <w:spacing w:before="120" w:after="120"/>
        <w:jc w:val="both"/>
        <w:rPr>
          <w:i w:val="0"/>
          <w:iCs w:val="0"/>
          <w:szCs w:val="21"/>
        </w:rPr>
      </w:pPr>
      <w:bookmarkStart w:id="56" w:name="_Toc27691"/>
      <w:bookmarkStart w:id="57" w:name="_Toc71707440"/>
      <w:bookmarkStart w:id="58" w:name="_Toc79161264"/>
      <w:bookmarkStart w:id="59" w:name="_Toc83732683"/>
      <w:bookmarkStart w:id="60" w:name="_Toc22974"/>
      <w:bookmarkStart w:id="61" w:name="_Toc10254"/>
      <w:bookmarkStart w:id="62" w:name="_Toc22748"/>
      <w:bookmarkStart w:id="63" w:name="_Toc27950"/>
      <w:bookmarkStart w:id="64" w:name="_Toc916"/>
      <w:bookmarkStart w:id="65" w:name="_Toc4583"/>
      <w:bookmarkStart w:id="66" w:name="_Toc11826"/>
      <w:bookmarkStart w:id="67" w:name="_Toc189"/>
      <w:r>
        <w:rPr>
          <w:rFonts w:hint="eastAsia"/>
          <w:i w:val="0"/>
          <w:iCs w:val="0"/>
          <w:szCs w:val="21"/>
          <w:lang w:val="en-US" w:eastAsia="zh-CN"/>
        </w:rPr>
        <w:t>The PEI reception window is used to determine the PEI occasion</w:t>
      </w:r>
      <w:r>
        <w:rPr>
          <w:i w:val="0"/>
          <w:iCs w:val="0"/>
          <w:szCs w:val="21"/>
          <w:lang w:val="en-US" w:eastAsia="zh-CN"/>
        </w:rPr>
        <w:t>, wherein PEI reception window can be configured by</w:t>
      </w:r>
      <w:r>
        <w:rPr>
          <w:rFonts w:hint="eastAsia"/>
          <w:i w:val="0"/>
          <w:iCs w:val="0"/>
          <w:szCs w:val="21"/>
          <w:lang w:val="en-US" w:eastAsia="zh-CN"/>
        </w:rPr>
        <w:t xml:space="preserve"> a</w:t>
      </w:r>
      <w:r>
        <w:rPr>
          <w:i w:val="0"/>
          <w:iCs w:val="0"/>
          <w:szCs w:val="21"/>
          <w:lang w:val="en-US" w:eastAsia="zh-CN"/>
        </w:rPr>
        <w:t>n</w:t>
      </w:r>
      <w:r>
        <w:rPr>
          <w:rFonts w:hint="eastAsia"/>
          <w:i w:val="0"/>
          <w:iCs w:val="0"/>
          <w:szCs w:val="21"/>
          <w:lang w:val="en-US" w:eastAsia="zh-CN"/>
        </w:rPr>
        <w:t xml:space="preserve"> offset between </w:t>
      </w:r>
      <w:r>
        <w:rPr>
          <w:i w:val="0"/>
          <w:iCs w:val="0"/>
          <w:szCs w:val="21"/>
          <w:lang w:val="en-US" w:eastAsia="zh-CN"/>
        </w:rPr>
        <w:t xml:space="preserve">the </w:t>
      </w:r>
      <w:r>
        <w:rPr>
          <w:rFonts w:hint="eastAsia"/>
          <w:i w:val="0"/>
          <w:iCs w:val="0"/>
          <w:szCs w:val="21"/>
          <w:lang w:val="en-US" w:eastAsia="zh-CN"/>
        </w:rPr>
        <w:t xml:space="preserve">start of PEI window and </w:t>
      </w:r>
      <w:r>
        <w:rPr>
          <w:i w:val="0"/>
          <w:iCs w:val="0"/>
          <w:szCs w:val="21"/>
          <w:lang w:val="en-US" w:eastAsia="zh-CN"/>
        </w:rPr>
        <w:t>the</w:t>
      </w:r>
      <w:r>
        <w:rPr>
          <w:rFonts w:hint="eastAsia"/>
          <w:i w:val="0"/>
          <w:iCs w:val="0"/>
          <w:szCs w:val="21"/>
          <w:lang w:val="en-US" w:eastAsia="zh-CN"/>
        </w:rPr>
        <w:t xml:space="preserve"> associated PO, or a reference point and a</w:t>
      </w:r>
      <w:r>
        <w:rPr>
          <w:i w:val="0"/>
          <w:iCs w:val="0"/>
          <w:szCs w:val="21"/>
          <w:lang w:val="en-US" w:eastAsia="zh-CN"/>
        </w:rPr>
        <w:t>n</w:t>
      </w:r>
      <w:r>
        <w:rPr>
          <w:rFonts w:hint="eastAsia"/>
          <w:i w:val="0"/>
          <w:iCs w:val="0"/>
          <w:szCs w:val="21"/>
          <w:lang w:val="en-US" w:eastAsia="zh-CN"/>
        </w:rPr>
        <w:t xml:space="preserve"> offset between </w:t>
      </w:r>
      <w:r>
        <w:rPr>
          <w:i w:val="0"/>
          <w:iCs w:val="0"/>
          <w:szCs w:val="21"/>
          <w:lang w:val="en-US" w:eastAsia="zh-CN"/>
        </w:rPr>
        <w:t xml:space="preserve">the </w:t>
      </w:r>
      <w:r>
        <w:rPr>
          <w:rFonts w:hint="eastAsia"/>
          <w:i w:val="0"/>
          <w:iCs w:val="0"/>
          <w:szCs w:val="21"/>
          <w:lang w:val="en-US" w:eastAsia="zh-CN"/>
        </w:rPr>
        <w:t xml:space="preserve">start of PEI window and </w:t>
      </w:r>
      <w:r>
        <w:rPr>
          <w:i w:val="0"/>
          <w:iCs w:val="0"/>
          <w:szCs w:val="21"/>
          <w:lang w:val="en-US" w:eastAsia="zh-CN"/>
        </w:rPr>
        <w:t>the</w:t>
      </w:r>
      <w:r>
        <w:rPr>
          <w:rFonts w:hint="eastAsia"/>
          <w:i w:val="0"/>
          <w:iCs w:val="0"/>
          <w:szCs w:val="21"/>
          <w:lang w:val="en-US" w:eastAsia="zh-CN"/>
        </w:rPr>
        <w:t xml:space="preserve"> reference point.</w:t>
      </w:r>
      <w:bookmarkEnd w:id="56"/>
      <w:bookmarkEnd w:id="57"/>
      <w:bookmarkEnd w:id="58"/>
      <w:bookmarkEnd w:id="59"/>
      <w:bookmarkEnd w:id="60"/>
      <w:bookmarkEnd w:id="61"/>
      <w:bookmarkEnd w:id="62"/>
      <w:bookmarkEnd w:id="63"/>
      <w:bookmarkEnd w:id="64"/>
      <w:bookmarkEnd w:id="65"/>
      <w:bookmarkEnd w:id="66"/>
      <w:bookmarkEnd w:id="67"/>
    </w:p>
    <w:p w:rsidR="0029479C" w:rsidRDefault="0029479C">
      <w:pPr>
        <w:spacing w:before="120" w:after="120"/>
      </w:pPr>
      <w:bookmarkStart w:id="68" w:name="_Toc22563"/>
      <w:bookmarkStart w:id="69" w:name="_Toc19439"/>
      <w:bookmarkEnd w:id="68"/>
      <w:bookmarkEnd w:id="69"/>
    </w:p>
    <w:p w:rsidR="0029479C" w:rsidRDefault="00A15FD1">
      <w:pPr>
        <w:pStyle w:val="2"/>
        <w:spacing w:before="120" w:after="120" w:line="260" w:lineRule="auto"/>
        <w:ind w:left="0" w:right="210"/>
        <w:rPr>
          <w:rFonts w:ascii="Times New Roman" w:hAnsi="Times New Roman"/>
          <w:b/>
          <w:bCs/>
          <w:sz w:val="22"/>
          <w:szCs w:val="22"/>
        </w:rPr>
      </w:pPr>
      <w:r>
        <w:rPr>
          <w:rFonts w:ascii="Times New Roman" w:hAnsi="Times New Roman"/>
          <w:b/>
          <w:bCs/>
          <w:sz w:val="22"/>
          <w:szCs w:val="22"/>
        </w:rPr>
        <w:t>Other aspects</w:t>
      </w:r>
    </w:p>
    <w:p w:rsidR="0029479C" w:rsidRDefault="00A15FD1">
      <w:pPr>
        <w:spacing w:before="120" w:after="120"/>
      </w:pPr>
      <w:r>
        <w:t>For PDCCH-based PEI, other aspects, such as the aggregation level, the RNTI and the search space configurations need to be discussed.</w:t>
      </w:r>
    </w:p>
    <w:p w:rsidR="0029479C" w:rsidRDefault="00A15FD1">
      <w:pPr>
        <w:numPr>
          <w:ilvl w:val="0"/>
          <w:numId w:val="15"/>
        </w:numPr>
        <w:spacing w:before="120" w:after="120"/>
        <w:rPr>
          <w:b/>
          <w:bCs/>
        </w:rPr>
      </w:pPr>
      <w:r>
        <w:rPr>
          <w:b/>
          <w:bCs/>
        </w:rPr>
        <w:t>Payload size of PEI</w:t>
      </w:r>
    </w:p>
    <w:p w:rsidR="0029479C" w:rsidRDefault="00A15FD1">
      <w:pPr>
        <w:spacing w:before="120" w:after="120"/>
        <w:rPr>
          <w:kern w:val="0"/>
          <w:sz w:val="24"/>
        </w:rPr>
      </w:pPr>
      <w:r>
        <w:t xml:space="preserve">In Rel-15/16, the DCI that UE in RRC idle/inactive state needs to monitor is DCI format 1-0 scrambled by P-RNTI/SI-RNTI/RA-RNTI/ </w:t>
      </w:r>
      <w:proofErr w:type="spellStart"/>
      <w:r>
        <w:t>MsgB</w:t>
      </w:r>
      <w:proofErr w:type="spellEnd"/>
      <w:r>
        <w:rPr>
          <w:kern w:val="0"/>
          <w:sz w:val="24"/>
        </w:rPr>
        <w:t>-RNTI/TC-RNTI</w:t>
      </w:r>
      <w:r>
        <w:t>, and DCI format 0-0 scrambled by TC-RNTI. According to the discussion in Rel-17 small data transmission, RRC inactive state UE may also need to monitor C-RNTI in CSS. Even these two DCI formats are scrambled by different RNTIs, the DCI payload sizes are the same according to the DCI size alignment procedure in TS 38.212. It implies that UE needs to monitor only one DCI size considering Rel-15/16 specification and the on-going Rel-17 discussion. Hence, the payload size of PDCCH-based PEI can be flexibly configured without exceeding the 3+1 DCI size budget.</w:t>
      </w:r>
    </w:p>
    <w:p w:rsidR="0029479C" w:rsidRDefault="00A15FD1">
      <w:pPr>
        <w:pStyle w:val="YJ-Proposal"/>
        <w:spacing w:before="120" w:after="120"/>
        <w:jc w:val="both"/>
        <w:rPr>
          <w:i w:val="0"/>
          <w:iCs w:val="0"/>
          <w:szCs w:val="21"/>
          <w:lang w:val="en-US" w:eastAsia="zh-CN"/>
        </w:rPr>
      </w:pPr>
      <w:bookmarkStart w:id="70" w:name="_Toc79161209"/>
      <w:bookmarkStart w:id="71" w:name="_Toc83732684"/>
      <w:r>
        <w:rPr>
          <w:i w:val="0"/>
          <w:iCs w:val="0"/>
          <w:szCs w:val="21"/>
          <w:lang w:val="en-US" w:eastAsia="zh-CN"/>
        </w:rPr>
        <w:t>T</w:t>
      </w:r>
      <w:r>
        <w:rPr>
          <w:i w:val="0"/>
          <w:iCs w:val="0"/>
          <w:sz w:val="21"/>
          <w:szCs w:val="21"/>
          <w:lang w:val="en-US" w:eastAsia="zh-CN"/>
        </w:rPr>
        <w:t xml:space="preserve">he payload size of </w:t>
      </w:r>
      <w:r>
        <w:rPr>
          <w:i w:val="0"/>
          <w:iCs w:val="0"/>
          <w:szCs w:val="21"/>
          <w:lang w:val="en-US" w:eastAsia="zh-CN"/>
        </w:rPr>
        <w:t>PDCCH-</w:t>
      </w:r>
      <w:r>
        <w:rPr>
          <w:i w:val="0"/>
          <w:iCs w:val="0"/>
          <w:sz w:val="21"/>
          <w:szCs w:val="21"/>
          <w:lang w:val="en-US" w:eastAsia="zh-CN"/>
        </w:rPr>
        <w:t>based PEI can be configured.</w:t>
      </w:r>
      <w:bookmarkEnd w:id="70"/>
      <w:bookmarkEnd w:id="71"/>
    </w:p>
    <w:p w:rsidR="0029479C" w:rsidRDefault="0029479C">
      <w:pPr>
        <w:spacing w:before="120" w:after="120"/>
      </w:pPr>
    </w:p>
    <w:p w:rsidR="0029479C" w:rsidRDefault="00A15FD1">
      <w:pPr>
        <w:numPr>
          <w:ilvl w:val="0"/>
          <w:numId w:val="15"/>
        </w:numPr>
        <w:spacing w:before="120" w:after="120"/>
        <w:rPr>
          <w:b/>
          <w:bCs/>
        </w:rPr>
      </w:pPr>
      <w:r>
        <w:rPr>
          <w:rFonts w:hint="eastAsia"/>
          <w:b/>
          <w:bCs/>
        </w:rPr>
        <w:t>Aggregation level</w:t>
      </w:r>
    </w:p>
    <w:p w:rsidR="0029479C" w:rsidRDefault="00A15FD1">
      <w:pPr>
        <w:spacing w:before="120" w:after="120"/>
      </w:pPr>
      <w:r>
        <w:t xml:space="preserve">According to our </w:t>
      </w:r>
      <w:r w:rsidRPr="005F38D1">
        <w:t xml:space="preserve">contribution </w:t>
      </w:r>
      <w:r w:rsidRPr="00CD29F4">
        <w:t>[3]</w:t>
      </w:r>
      <w:r w:rsidRPr="005F38D1">
        <w:t>, for PDCCH</w:t>
      </w:r>
      <w:r>
        <w:t xml:space="preserve">-based PEI with SCL decoding, AL 4 fulfills the performance required by paging PDSCH without TB scaling; AL 8 fulfills the performance required by paging PDSCH with TB scaling=0.5. For PDCCH-based PEI with ML decoding, AL 2 fulfills the performance requirement of paging PDSCH with TB scaling 1 and AL 4 fulfills the performance requirement of paging PDSCH with TB scaling 0.5. What’s more, when the payload size changes, the required aggregation level for different performance requirements changes accordingly. Therefore, </w:t>
      </w:r>
      <w:r w:rsidR="00235CA8">
        <w:t>configurable</w:t>
      </w:r>
      <w:r>
        <w:t xml:space="preserve"> aggregation levels in different application scenarios can improve the coverage and better adapt to different TB scaling factors. </w:t>
      </w:r>
    </w:p>
    <w:p w:rsidR="0029479C" w:rsidRDefault="00A15FD1">
      <w:pPr>
        <w:pStyle w:val="YJ-Proposal"/>
        <w:spacing w:before="120" w:after="120"/>
        <w:jc w:val="both"/>
        <w:rPr>
          <w:i w:val="0"/>
          <w:iCs w:val="0"/>
          <w:szCs w:val="21"/>
          <w:lang w:val="en-US" w:eastAsia="zh-CN"/>
        </w:rPr>
      </w:pPr>
      <w:bookmarkStart w:id="72" w:name="_Toc83732685"/>
      <w:bookmarkStart w:id="73" w:name="_Toc20977"/>
      <w:bookmarkStart w:id="74" w:name="_Toc5422"/>
      <w:r>
        <w:rPr>
          <w:i w:val="0"/>
          <w:iCs w:val="0"/>
          <w:szCs w:val="21"/>
          <w:lang w:val="en-US" w:eastAsia="zh-CN"/>
        </w:rPr>
        <w:t>The aggregation levels of PDCCH-based PEI can be configured</w:t>
      </w:r>
      <w:bookmarkEnd w:id="72"/>
      <w:r>
        <w:rPr>
          <w:i w:val="0"/>
          <w:iCs w:val="0"/>
          <w:szCs w:val="21"/>
          <w:lang w:val="en-US" w:eastAsia="zh-CN"/>
        </w:rPr>
        <w:t xml:space="preserve"> </w:t>
      </w:r>
      <w:bookmarkEnd w:id="73"/>
      <w:bookmarkEnd w:id="74"/>
    </w:p>
    <w:p w:rsidR="0029479C" w:rsidRDefault="00A15FD1">
      <w:pPr>
        <w:numPr>
          <w:ilvl w:val="0"/>
          <w:numId w:val="15"/>
        </w:numPr>
        <w:spacing w:before="120" w:after="120"/>
        <w:rPr>
          <w:b/>
          <w:bCs/>
        </w:rPr>
      </w:pPr>
      <w:r>
        <w:rPr>
          <w:rFonts w:hint="eastAsia"/>
          <w:b/>
          <w:bCs/>
        </w:rPr>
        <w:t>RNTI</w:t>
      </w:r>
    </w:p>
    <w:p w:rsidR="0029479C" w:rsidRDefault="00A15FD1">
      <w:pPr>
        <w:spacing w:before="120" w:after="120"/>
      </w:pPr>
      <w:r>
        <w:t>In RAN#93</w:t>
      </w:r>
      <w:r>
        <w:rPr>
          <w:rFonts w:hint="eastAsia"/>
        </w:rPr>
        <w:t>-e meeting</w:t>
      </w:r>
      <w:r>
        <w:t xml:space="preserve">, a new DCI format was agreed for </w:t>
      </w:r>
      <w:r>
        <w:rPr>
          <w:rFonts w:hint="eastAsia"/>
        </w:rPr>
        <w:t>PDCCH-based</w:t>
      </w:r>
      <w:r>
        <w:t xml:space="preserve"> PEI. For RNTI used to scramble the CRC of </w:t>
      </w:r>
      <w:r>
        <w:rPr>
          <w:rFonts w:hint="eastAsia"/>
        </w:rPr>
        <w:t>PDCCH-based</w:t>
      </w:r>
      <w:r>
        <w:t xml:space="preserve"> PEI, </w:t>
      </w:r>
      <w:r>
        <w:rPr>
          <w:rFonts w:hint="eastAsia"/>
        </w:rPr>
        <w:t xml:space="preserve">both legacy RNTI like P-RNTI and new RNTI can be </w:t>
      </w:r>
      <w:r>
        <w:t>considered.</w:t>
      </w:r>
    </w:p>
    <w:p w:rsidR="0029479C" w:rsidRDefault="00A15FD1">
      <w:pPr>
        <w:spacing w:before="120" w:after="120"/>
      </w:pPr>
      <w:r>
        <w:t xml:space="preserve">P-RNTI </w:t>
      </w:r>
      <w:r>
        <w:rPr>
          <w:rFonts w:hint="eastAsia"/>
        </w:rPr>
        <w:t xml:space="preserve">is used </w:t>
      </w:r>
      <w:r>
        <w:t>to scramble paging</w:t>
      </w:r>
      <w:r>
        <w:rPr>
          <w:rFonts w:hint="eastAsia"/>
        </w:rPr>
        <w:t xml:space="preserve"> </w:t>
      </w:r>
      <w:r>
        <w:t>PDCCH.</w:t>
      </w:r>
      <w:r>
        <w:rPr>
          <w:rFonts w:hint="eastAsia"/>
        </w:rPr>
        <w:t xml:space="preserve"> </w:t>
      </w:r>
      <w:r>
        <w:t>If the new DCI format has different DCI size from that of DCI format 1_0 carrying paging</w:t>
      </w:r>
      <w:r>
        <w:rPr>
          <w:rFonts w:hint="eastAsia"/>
        </w:rPr>
        <w:t xml:space="preserve"> </w:t>
      </w:r>
      <w:r>
        <w:t xml:space="preserve">PDCCH, applying P-RNTI to </w:t>
      </w:r>
      <w:r>
        <w:rPr>
          <w:rFonts w:hint="eastAsia"/>
        </w:rPr>
        <w:t xml:space="preserve">the PEI </w:t>
      </w:r>
      <w:r>
        <w:t>will not lead to ambiguity. However,</w:t>
      </w:r>
      <w:r>
        <w:rPr>
          <w:rFonts w:hint="eastAsia"/>
        </w:rPr>
        <w:t xml:space="preserve"> </w:t>
      </w:r>
      <w:r>
        <w:t xml:space="preserve">if the new DCI format has identical DCI size with DCI format 1_0 and P-RNTI is applied to </w:t>
      </w:r>
      <w:r>
        <w:rPr>
          <w:rFonts w:hint="eastAsia"/>
        </w:rPr>
        <w:t>the PEI</w:t>
      </w:r>
      <w:r>
        <w:t>, it will impact legacy UEs on the detection of paging DCI. Therefore, a new RNTI is preferred for PDCCH-based PEI.</w:t>
      </w:r>
    </w:p>
    <w:p w:rsidR="0029479C" w:rsidRDefault="00A15FD1">
      <w:pPr>
        <w:spacing w:before="120" w:after="120"/>
      </w:pPr>
      <w:r>
        <w:t xml:space="preserve">Furthermore, if </w:t>
      </w:r>
      <w:r>
        <w:rPr>
          <w:rFonts w:hint="eastAsia"/>
        </w:rPr>
        <w:t>the new RNTI is a fixed value</w:t>
      </w:r>
      <w:r>
        <w:t xml:space="preserve">, all the cells will apply the same RNTI for PEI. It will cause interference to </w:t>
      </w:r>
      <w:proofErr w:type="spellStart"/>
      <w:r>
        <w:t>neighbour</w:t>
      </w:r>
      <w:proofErr w:type="spellEnd"/>
      <w:r>
        <w:t xml:space="preserve"> cells, and UE may falsely take PEI from other cell as its own </w:t>
      </w:r>
      <w:r>
        <w:rPr>
          <w:rFonts w:hint="eastAsia"/>
        </w:rPr>
        <w:t>PEI</w:t>
      </w:r>
      <w:r>
        <w:t>. Hence, a new RNTI with configurable value is suggested for the PDCCH based-PEI to reduce interference and false alarming rate.</w:t>
      </w:r>
    </w:p>
    <w:p w:rsidR="0029479C" w:rsidRDefault="00A15FD1" w:rsidP="00CD29F4">
      <w:pPr>
        <w:pStyle w:val="YJ-Proposal"/>
        <w:spacing w:before="120" w:after="120"/>
        <w:jc w:val="both"/>
        <w:rPr>
          <w:i w:val="0"/>
          <w:iCs w:val="0"/>
          <w:lang w:val="en-US"/>
        </w:rPr>
      </w:pPr>
      <w:bookmarkStart w:id="75" w:name="_Toc83732686"/>
      <w:bookmarkStart w:id="76" w:name="_Toc7715"/>
      <w:r>
        <w:rPr>
          <w:i w:val="0"/>
        </w:rPr>
        <w:t>A</w:t>
      </w:r>
      <w:r>
        <w:rPr>
          <w:i w:val="0"/>
          <w:iCs w:val="0"/>
          <w:lang w:val="en-US"/>
        </w:rPr>
        <w:t xml:space="preserve"> new RNTI with configurable value is preferred for the PDCCH based PEI with a new DCI format.</w:t>
      </w:r>
      <w:bookmarkEnd w:id="75"/>
      <w:bookmarkEnd w:id="76"/>
    </w:p>
    <w:p w:rsidR="0029479C" w:rsidRDefault="00A15FD1">
      <w:pPr>
        <w:numPr>
          <w:ilvl w:val="0"/>
          <w:numId w:val="15"/>
        </w:numPr>
        <w:spacing w:before="120" w:after="120"/>
        <w:rPr>
          <w:b/>
          <w:bCs/>
        </w:rPr>
      </w:pPr>
      <w:r>
        <w:rPr>
          <w:rFonts w:hint="eastAsia"/>
          <w:b/>
          <w:bCs/>
        </w:rPr>
        <w:t>Search space</w:t>
      </w:r>
      <w:r>
        <w:rPr>
          <w:b/>
          <w:bCs/>
        </w:rPr>
        <w:t xml:space="preserve"> set</w:t>
      </w:r>
    </w:p>
    <w:p w:rsidR="0029479C" w:rsidRDefault="00A15FD1">
      <w:pPr>
        <w:spacing w:before="120" w:after="120"/>
      </w:pPr>
      <w:r>
        <w:t xml:space="preserve">For search space set configured for PEI, </w:t>
      </w:r>
      <w:r>
        <w:rPr>
          <w:rFonts w:hint="eastAsia"/>
        </w:rPr>
        <w:t>two</w:t>
      </w:r>
      <w:r>
        <w:t xml:space="preserve"> options can be considered.</w:t>
      </w:r>
    </w:p>
    <w:p w:rsidR="0029479C" w:rsidRDefault="00A15FD1">
      <w:pPr>
        <w:spacing w:before="120" w:after="120"/>
        <w:rPr>
          <w:kern w:val="0"/>
          <w:sz w:val="24"/>
        </w:rPr>
      </w:pPr>
      <w:r>
        <w:rPr>
          <w:b/>
          <w:bCs/>
          <w:iCs/>
        </w:rPr>
        <w:lastRenderedPageBreak/>
        <w:t>Option 1: p</w:t>
      </w:r>
      <w:r>
        <w:rPr>
          <w:rFonts w:hint="eastAsia"/>
          <w:b/>
          <w:bCs/>
          <w:iCs/>
        </w:rPr>
        <w:t>aging</w:t>
      </w:r>
      <w:r>
        <w:rPr>
          <w:b/>
          <w:bCs/>
          <w:iCs/>
        </w:rPr>
        <w:t xml:space="preserve"> s</w:t>
      </w:r>
      <w:r>
        <w:rPr>
          <w:rFonts w:hint="eastAsia"/>
          <w:b/>
          <w:bCs/>
          <w:iCs/>
        </w:rPr>
        <w:t>earch</w:t>
      </w:r>
      <w:r>
        <w:rPr>
          <w:b/>
          <w:bCs/>
          <w:iCs/>
        </w:rPr>
        <w:t xml:space="preserve"> s</w:t>
      </w:r>
      <w:r>
        <w:rPr>
          <w:rFonts w:hint="eastAsia"/>
          <w:b/>
          <w:bCs/>
          <w:iCs/>
        </w:rPr>
        <w:t>pace</w:t>
      </w:r>
      <w:r>
        <w:rPr>
          <w:b/>
          <w:bCs/>
          <w:iCs/>
        </w:rPr>
        <w:t xml:space="preserve"> (i.e</w:t>
      </w:r>
      <w:r w:rsidRPr="005F38D1">
        <w:rPr>
          <w:b/>
          <w:bCs/>
          <w:iCs/>
        </w:rPr>
        <w:t xml:space="preserve">., </w:t>
      </w:r>
      <w:r w:rsidRPr="00CD29F4">
        <w:rPr>
          <w:b/>
        </w:rPr>
        <w:t>Type2-PDCCH CSS set</w:t>
      </w:r>
      <w:r w:rsidRPr="005F38D1">
        <w:rPr>
          <w:b/>
          <w:bCs/>
          <w:iCs/>
        </w:rPr>
        <w:t>)</w:t>
      </w:r>
      <w:r w:rsidRPr="00CD29F4">
        <w:rPr>
          <w:b/>
        </w:rPr>
        <w:t>.</w:t>
      </w:r>
      <w:r>
        <w:rPr>
          <w:rFonts w:hint="eastAsia"/>
        </w:rPr>
        <w:t xml:space="preserve"> </w:t>
      </w:r>
      <w:r>
        <w:t xml:space="preserve"> The paging search space can be reused for PEI to reduce the radio resource.</w:t>
      </w:r>
    </w:p>
    <w:p w:rsidR="0029479C" w:rsidRDefault="00A15FD1">
      <w:pPr>
        <w:spacing w:before="120" w:after="120"/>
      </w:pPr>
      <w:r>
        <w:rPr>
          <w:b/>
          <w:bCs/>
          <w:iCs/>
        </w:rPr>
        <w:t xml:space="preserve">Option 2: </w:t>
      </w:r>
      <w:r>
        <w:rPr>
          <w:rFonts w:hint="eastAsia"/>
          <w:b/>
          <w:bCs/>
          <w:iCs/>
        </w:rPr>
        <w:t>PEI</w:t>
      </w:r>
      <w:r>
        <w:rPr>
          <w:b/>
          <w:bCs/>
          <w:iCs/>
        </w:rPr>
        <w:t xml:space="preserve"> s</w:t>
      </w:r>
      <w:r>
        <w:rPr>
          <w:rFonts w:hint="eastAsia"/>
          <w:b/>
          <w:bCs/>
          <w:iCs/>
        </w:rPr>
        <w:t>earch</w:t>
      </w:r>
      <w:r>
        <w:rPr>
          <w:b/>
          <w:bCs/>
          <w:iCs/>
        </w:rPr>
        <w:t xml:space="preserve"> s</w:t>
      </w:r>
      <w:r>
        <w:rPr>
          <w:rFonts w:hint="eastAsia"/>
          <w:b/>
          <w:bCs/>
          <w:iCs/>
        </w:rPr>
        <w:t>pace</w:t>
      </w:r>
      <w:r>
        <w:rPr>
          <w:b/>
          <w:bCs/>
          <w:iCs/>
        </w:rPr>
        <w:t xml:space="preserve"> (e.g., </w:t>
      </w:r>
      <w:r w:rsidRPr="00CD29F4">
        <w:rPr>
          <w:b/>
        </w:rPr>
        <w:t>Type2a-PDCCH CSS set</w:t>
      </w:r>
      <w:r w:rsidRPr="005F38D1">
        <w:rPr>
          <w:b/>
          <w:bCs/>
          <w:iCs/>
        </w:rPr>
        <w:t>)</w:t>
      </w:r>
      <w:r w:rsidRPr="005F38D1">
        <w:rPr>
          <w:b/>
          <w:bCs/>
        </w:rPr>
        <w:t>.</w:t>
      </w:r>
      <w:r>
        <w:rPr>
          <w:rFonts w:hint="eastAsia"/>
        </w:rPr>
        <w:t xml:space="preserve"> </w:t>
      </w:r>
      <w:r>
        <w:t>A dedicated new search space set, i.e., PEI search space can be configured for PEI</w:t>
      </w:r>
      <w:r>
        <w:rPr>
          <w:rFonts w:hint="eastAsia"/>
        </w:rPr>
        <w:t xml:space="preserve">. </w:t>
      </w:r>
      <w:r>
        <w:t>Using a new search space can reduce coupling with legacy search space</w:t>
      </w:r>
      <w:r w:rsidR="005F38D1">
        <w:t xml:space="preserve"> set</w:t>
      </w:r>
      <w:r>
        <w:t>.</w:t>
      </w:r>
      <w:r>
        <w:rPr>
          <w:rFonts w:hint="eastAsia"/>
        </w:rPr>
        <w:t xml:space="preserve"> </w:t>
      </w:r>
    </w:p>
    <w:p w:rsidR="0029479C" w:rsidRDefault="00A15FD1">
      <w:pPr>
        <w:spacing w:before="120" w:after="120"/>
      </w:pPr>
      <w:r>
        <w:rPr>
          <w:rFonts w:hint="eastAsia"/>
        </w:rPr>
        <w:t xml:space="preserve">To sum up, both legacy search space and new search space can be </w:t>
      </w:r>
      <w:r>
        <w:t>considered</w:t>
      </w:r>
      <w:r>
        <w:rPr>
          <w:rFonts w:hint="eastAsia"/>
        </w:rPr>
        <w:t xml:space="preserve"> for PEI. </w:t>
      </w:r>
      <w:r>
        <w:t xml:space="preserve">However, to reduce the workload, the paging search space can be reused for PEI. </w:t>
      </w:r>
    </w:p>
    <w:p w:rsidR="0029479C" w:rsidRDefault="00A15FD1">
      <w:pPr>
        <w:pStyle w:val="YJ-Proposal"/>
        <w:spacing w:before="120" w:after="120"/>
        <w:rPr>
          <w:i w:val="0"/>
          <w:iCs w:val="0"/>
          <w:lang w:val="en-US"/>
        </w:rPr>
      </w:pPr>
      <w:bookmarkStart w:id="77" w:name="_Toc29561"/>
      <w:bookmarkStart w:id="78" w:name="_Toc83732687"/>
      <w:r>
        <w:rPr>
          <w:i w:val="0"/>
          <w:iCs w:val="0"/>
          <w:lang w:val="en-US"/>
        </w:rPr>
        <w:t>The</w:t>
      </w:r>
      <w:bookmarkEnd w:id="77"/>
      <w:r>
        <w:rPr>
          <w:i w:val="0"/>
        </w:rPr>
        <w:t xml:space="preserve"> paging search space can be reused for PEI.</w:t>
      </w:r>
      <w:bookmarkEnd w:id="78"/>
    </w:p>
    <w:p w:rsidR="0029479C" w:rsidRDefault="0029479C">
      <w:pPr>
        <w:spacing w:before="120" w:after="120"/>
      </w:pPr>
    </w:p>
    <w:p w:rsidR="0029479C" w:rsidRDefault="00A15FD1">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rsidR="0029479C" w:rsidRDefault="00A15FD1">
      <w:pPr>
        <w:spacing w:before="120" w:after="120"/>
        <w:rPr>
          <w:szCs w:val="22"/>
        </w:rPr>
      </w:pPr>
      <w:r>
        <w:rPr>
          <w:rFonts w:hint="eastAsia"/>
        </w:rPr>
        <w:t>In this contribution, we discuss the power saving enhancement schemes for paging. We have the following observations and proposals.</w:t>
      </w:r>
    </w:p>
    <w:p w:rsidR="0029479C" w:rsidRDefault="00A15FD1">
      <w:pPr>
        <w:pStyle w:val="10"/>
        <w:tabs>
          <w:tab w:val="left" w:pos="1540"/>
        </w:tabs>
        <w:spacing w:before="120" w:after="120"/>
        <w:jc w:val="both"/>
        <w:rPr>
          <w:rFonts w:asciiTheme="minorHAnsi" w:hAnsiTheme="minorHAnsi" w:cstheme="minorBidi"/>
          <w:b w:val="0"/>
          <w:bCs w:val="0"/>
          <w:i w:val="0"/>
          <w:iCs w:val="0"/>
          <w:kern w:val="0"/>
          <w:sz w:val="22"/>
          <w:szCs w:val="22"/>
        </w:rPr>
      </w:pPr>
      <w:r>
        <w:rPr>
          <w:i w:val="0"/>
          <w:iCs w:val="0"/>
          <w:sz w:val="21"/>
          <w:szCs w:val="22"/>
        </w:rPr>
        <w:fldChar w:fldCharType="begin"/>
      </w:r>
      <w:r>
        <w:rPr>
          <w:i w:val="0"/>
          <w:iCs w:val="0"/>
          <w:sz w:val="21"/>
          <w:szCs w:val="22"/>
        </w:rPr>
        <w:instrText>TOC \n  \t "YJ-Observation,1,sub-observation,2,3rd level observation,3" \h</w:instrText>
      </w:r>
      <w:r>
        <w:rPr>
          <w:i w:val="0"/>
          <w:iCs w:val="0"/>
          <w:sz w:val="21"/>
          <w:szCs w:val="22"/>
        </w:rPr>
        <w:fldChar w:fldCharType="separate"/>
      </w:r>
      <w:hyperlink w:anchor="_Toc83732674" w:history="1">
        <w:r>
          <w:rPr>
            <w:rStyle w:val="af"/>
            <w:rFonts w:eastAsia="宋体"/>
            <w:i w:val="0"/>
          </w:rPr>
          <w:t>Observation 1:</w:t>
        </w:r>
        <w:r>
          <w:rPr>
            <w:rFonts w:asciiTheme="minorHAnsi" w:hAnsiTheme="minorHAnsi" w:cstheme="minorBidi"/>
            <w:b w:val="0"/>
            <w:bCs w:val="0"/>
            <w:i w:val="0"/>
            <w:iCs w:val="0"/>
            <w:kern w:val="0"/>
            <w:sz w:val="22"/>
            <w:szCs w:val="22"/>
          </w:rPr>
          <w:tab/>
        </w:r>
        <w:r>
          <w:rPr>
            <w:rStyle w:val="af"/>
            <w:i w:val="0"/>
          </w:rPr>
          <w:t>If the sub-grouping information is carried on the paging PDCCH, the power saving gain is negligible.</w:t>
        </w:r>
      </w:hyperlink>
    </w:p>
    <w:p w:rsidR="0029479C" w:rsidRDefault="0070654E">
      <w:pPr>
        <w:pStyle w:val="10"/>
        <w:tabs>
          <w:tab w:val="left" w:pos="1540"/>
        </w:tabs>
        <w:spacing w:before="120" w:after="120"/>
        <w:jc w:val="both"/>
        <w:rPr>
          <w:rFonts w:asciiTheme="minorHAnsi" w:hAnsiTheme="minorHAnsi" w:cstheme="minorBidi"/>
          <w:b w:val="0"/>
          <w:bCs w:val="0"/>
          <w:i w:val="0"/>
          <w:iCs w:val="0"/>
          <w:kern w:val="0"/>
          <w:sz w:val="22"/>
          <w:szCs w:val="22"/>
        </w:rPr>
      </w:pPr>
      <w:hyperlink w:anchor="_Toc83732675" w:history="1">
        <w:r w:rsidR="00A15FD1">
          <w:rPr>
            <w:rStyle w:val="af"/>
            <w:rFonts w:eastAsia="宋体"/>
            <w:i w:val="0"/>
          </w:rPr>
          <w:t>Observation 2:</w:t>
        </w:r>
        <w:r w:rsidR="00A15FD1">
          <w:rPr>
            <w:rFonts w:asciiTheme="minorHAnsi" w:hAnsiTheme="minorHAnsi" w:cstheme="minorBidi"/>
            <w:b w:val="0"/>
            <w:bCs w:val="0"/>
            <w:i w:val="0"/>
            <w:iCs w:val="0"/>
            <w:kern w:val="0"/>
            <w:sz w:val="22"/>
            <w:szCs w:val="22"/>
          </w:rPr>
          <w:tab/>
        </w:r>
        <w:r w:rsidR="00A15FD1">
          <w:rPr>
            <w:rStyle w:val="af"/>
            <w:i w:val="0"/>
          </w:rPr>
          <w:t>Multi-beam based transmission should be supported for PEI, and the QCL information of PEI in each occasion should be associated with an SSB.</w:t>
        </w:r>
      </w:hyperlink>
    </w:p>
    <w:p w:rsidR="0029479C" w:rsidRDefault="00A15FD1">
      <w:pPr>
        <w:spacing w:before="120" w:after="120"/>
      </w:pPr>
      <w:r>
        <w:rPr>
          <w:szCs w:val="22"/>
        </w:rPr>
        <w:fldChar w:fldCharType="end"/>
      </w:r>
    </w:p>
    <w:p w:rsidR="0029479C" w:rsidRDefault="00A15FD1">
      <w:pPr>
        <w:pStyle w:val="10"/>
        <w:tabs>
          <w:tab w:val="left" w:pos="1282"/>
        </w:tabs>
        <w:spacing w:before="120" w:after="120"/>
        <w:jc w:val="both"/>
        <w:rPr>
          <w:rFonts w:asciiTheme="minorHAnsi" w:hAnsiTheme="minorHAnsi" w:cstheme="minorBidi"/>
          <w:b w:val="0"/>
          <w:bCs w:val="0"/>
          <w:i w:val="0"/>
          <w:iCs w:val="0"/>
          <w:kern w:val="0"/>
          <w:sz w:val="22"/>
          <w:szCs w:val="22"/>
        </w:rPr>
      </w:pPr>
      <w:r>
        <w:rPr>
          <w:i w:val="0"/>
          <w:iCs w:val="0"/>
        </w:rPr>
        <w:fldChar w:fldCharType="begin"/>
      </w:r>
      <w:r>
        <w:rPr>
          <w:i w:val="0"/>
          <w:iCs w:val="0"/>
        </w:rPr>
        <w:instrText>TOC \n  \t "YJ-Proposal,1,sub-proposal,2,3rd level proposal,3" \h</w:instrText>
      </w:r>
      <w:r>
        <w:rPr>
          <w:i w:val="0"/>
          <w:iCs w:val="0"/>
        </w:rPr>
        <w:fldChar w:fldCharType="separate"/>
      </w:r>
      <w:hyperlink w:anchor="_Toc83732676" w:history="1">
        <w:r>
          <w:rPr>
            <w:rStyle w:val="af"/>
            <w:rFonts w:eastAsia="宋体"/>
            <w:i w:val="0"/>
          </w:rPr>
          <w:t>Proposal 1:</w:t>
        </w:r>
        <w:r>
          <w:rPr>
            <w:rFonts w:asciiTheme="minorHAnsi" w:hAnsiTheme="minorHAnsi" w:cstheme="minorBidi"/>
            <w:b w:val="0"/>
            <w:bCs w:val="0"/>
            <w:i w:val="0"/>
            <w:iCs w:val="0"/>
            <w:kern w:val="0"/>
            <w:sz w:val="22"/>
            <w:szCs w:val="22"/>
          </w:rPr>
          <w:tab/>
        </w:r>
        <w:r>
          <w:rPr>
            <w:rStyle w:val="af"/>
            <w:i w:val="0"/>
          </w:rPr>
          <w:t>The sub-grouping information should be carried by PEI.</w:t>
        </w:r>
      </w:hyperlink>
    </w:p>
    <w:p w:rsidR="0029479C" w:rsidRDefault="0070654E">
      <w:pPr>
        <w:pStyle w:val="10"/>
        <w:tabs>
          <w:tab w:val="left" w:pos="1282"/>
        </w:tabs>
        <w:spacing w:before="120" w:after="120"/>
        <w:jc w:val="both"/>
        <w:rPr>
          <w:rFonts w:asciiTheme="minorHAnsi" w:hAnsiTheme="minorHAnsi" w:cstheme="minorBidi"/>
          <w:b w:val="0"/>
          <w:bCs w:val="0"/>
          <w:i w:val="0"/>
          <w:iCs w:val="0"/>
          <w:kern w:val="0"/>
          <w:sz w:val="22"/>
          <w:szCs w:val="22"/>
        </w:rPr>
      </w:pPr>
      <w:hyperlink w:anchor="_Toc83732677" w:history="1">
        <w:r w:rsidR="00A15FD1">
          <w:rPr>
            <w:rStyle w:val="af"/>
            <w:rFonts w:eastAsia="宋体"/>
            <w:i w:val="0"/>
          </w:rPr>
          <w:t>Proposal 2:</w:t>
        </w:r>
        <w:r w:rsidR="00A15FD1">
          <w:rPr>
            <w:rFonts w:asciiTheme="minorHAnsi" w:hAnsiTheme="minorHAnsi" w:cstheme="minorBidi"/>
            <w:b w:val="0"/>
            <w:bCs w:val="0"/>
            <w:i w:val="0"/>
            <w:iCs w:val="0"/>
            <w:kern w:val="0"/>
            <w:sz w:val="22"/>
            <w:szCs w:val="22"/>
          </w:rPr>
          <w:tab/>
        </w:r>
        <w:r w:rsidR="00A15FD1">
          <w:rPr>
            <w:rStyle w:val="af"/>
            <w:i w:val="0"/>
          </w:rPr>
          <w:t>A PEI should be associated with multiple POs.</w:t>
        </w:r>
      </w:hyperlink>
    </w:p>
    <w:p w:rsidR="0029479C" w:rsidRDefault="0070654E">
      <w:pPr>
        <w:pStyle w:val="10"/>
        <w:tabs>
          <w:tab w:val="left" w:pos="1282"/>
        </w:tabs>
        <w:spacing w:before="120" w:after="120"/>
        <w:jc w:val="both"/>
        <w:rPr>
          <w:rFonts w:asciiTheme="minorHAnsi" w:hAnsiTheme="minorHAnsi" w:cstheme="minorBidi"/>
          <w:b w:val="0"/>
          <w:bCs w:val="0"/>
          <w:i w:val="0"/>
          <w:iCs w:val="0"/>
          <w:kern w:val="0"/>
          <w:sz w:val="22"/>
          <w:szCs w:val="22"/>
        </w:rPr>
      </w:pPr>
      <w:hyperlink w:anchor="_Toc83732678" w:history="1">
        <w:r w:rsidR="00A15FD1">
          <w:rPr>
            <w:rStyle w:val="af"/>
            <w:rFonts w:eastAsia="宋体"/>
            <w:i w:val="0"/>
          </w:rPr>
          <w:t>Proposal 3:</w:t>
        </w:r>
        <w:r w:rsidR="00A15FD1">
          <w:rPr>
            <w:rFonts w:asciiTheme="minorHAnsi" w:hAnsiTheme="minorHAnsi" w:cstheme="minorBidi"/>
            <w:b w:val="0"/>
            <w:bCs w:val="0"/>
            <w:i w:val="0"/>
            <w:iCs w:val="0"/>
            <w:kern w:val="0"/>
            <w:sz w:val="22"/>
            <w:szCs w:val="22"/>
          </w:rPr>
          <w:tab/>
        </w:r>
        <w:r w:rsidR="00A15FD1">
          <w:rPr>
            <w:rStyle w:val="af"/>
            <w:rFonts w:eastAsia="宋体"/>
            <w:i w:val="0"/>
          </w:rPr>
          <w:t xml:space="preserve">The number of POs associated with </w:t>
        </w:r>
        <w:r w:rsidR="00A15FD1">
          <w:rPr>
            <w:rStyle w:val="af"/>
            <w:i w:val="0"/>
          </w:rPr>
          <w:t xml:space="preserve">one </w:t>
        </w:r>
        <w:r w:rsidR="00A15FD1">
          <w:rPr>
            <w:rStyle w:val="af"/>
            <w:rFonts w:eastAsia="宋体"/>
            <w:i w:val="0"/>
          </w:rPr>
          <w:t>PEI should be configurable.</w:t>
        </w:r>
      </w:hyperlink>
    </w:p>
    <w:p w:rsidR="0029479C" w:rsidRDefault="0070654E">
      <w:pPr>
        <w:pStyle w:val="10"/>
        <w:tabs>
          <w:tab w:val="left" w:pos="1282"/>
        </w:tabs>
        <w:spacing w:before="120" w:after="120"/>
        <w:jc w:val="both"/>
        <w:rPr>
          <w:rFonts w:asciiTheme="minorHAnsi" w:hAnsiTheme="minorHAnsi" w:cstheme="minorBidi"/>
          <w:b w:val="0"/>
          <w:bCs w:val="0"/>
          <w:i w:val="0"/>
          <w:iCs w:val="0"/>
          <w:kern w:val="0"/>
          <w:sz w:val="22"/>
          <w:szCs w:val="22"/>
        </w:rPr>
      </w:pPr>
      <w:hyperlink w:anchor="_Toc83732679" w:history="1">
        <w:r w:rsidR="00A15FD1">
          <w:rPr>
            <w:rStyle w:val="af"/>
            <w:rFonts w:eastAsia="宋体"/>
            <w:i w:val="0"/>
          </w:rPr>
          <w:t>Proposal 4:</w:t>
        </w:r>
        <w:r w:rsidR="00A15FD1">
          <w:rPr>
            <w:rFonts w:asciiTheme="minorHAnsi" w:hAnsiTheme="minorHAnsi" w:cstheme="minorBidi"/>
            <w:b w:val="0"/>
            <w:bCs w:val="0"/>
            <w:i w:val="0"/>
            <w:iCs w:val="0"/>
            <w:kern w:val="0"/>
            <w:sz w:val="22"/>
            <w:szCs w:val="22"/>
          </w:rPr>
          <w:tab/>
        </w:r>
        <w:r w:rsidR="00A15FD1">
          <w:rPr>
            <w:rStyle w:val="af"/>
            <w:rFonts w:eastAsia="宋体"/>
            <w:i w:val="0"/>
          </w:rPr>
          <w:t>Some legacy parameters can be reused to indicate the number of POs associated with one PEI.</w:t>
        </w:r>
      </w:hyperlink>
    </w:p>
    <w:p w:rsidR="0029479C" w:rsidRDefault="0070654E">
      <w:pPr>
        <w:pStyle w:val="10"/>
        <w:tabs>
          <w:tab w:val="left" w:pos="1282"/>
        </w:tabs>
        <w:spacing w:before="120" w:after="120"/>
        <w:jc w:val="both"/>
        <w:rPr>
          <w:rFonts w:asciiTheme="minorHAnsi" w:hAnsiTheme="minorHAnsi" w:cstheme="minorBidi"/>
          <w:b w:val="0"/>
          <w:bCs w:val="0"/>
          <w:i w:val="0"/>
          <w:iCs w:val="0"/>
          <w:kern w:val="0"/>
          <w:sz w:val="22"/>
          <w:szCs w:val="22"/>
        </w:rPr>
      </w:pPr>
      <w:hyperlink w:anchor="_Toc83732680" w:history="1">
        <w:r w:rsidR="00A15FD1">
          <w:rPr>
            <w:rStyle w:val="af"/>
            <w:rFonts w:eastAsia="宋体"/>
            <w:i w:val="0"/>
          </w:rPr>
          <w:t>Proposal 5:</w:t>
        </w:r>
        <w:r w:rsidR="00A15FD1">
          <w:rPr>
            <w:rFonts w:asciiTheme="minorHAnsi" w:hAnsiTheme="minorHAnsi" w:cstheme="minorBidi"/>
            <w:b w:val="0"/>
            <w:bCs w:val="0"/>
            <w:i w:val="0"/>
            <w:iCs w:val="0"/>
            <w:kern w:val="0"/>
            <w:sz w:val="22"/>
            <w:szCs w:val="22"/>
          </w:rPr>
          <w:tab/>
        </w:r>
        <w:r w:rsidR="00A15FD1">
          <w:rPr>
            <w:rStyle w:val="af"/>
            <w:i w:val="0"/>
          </w:rPr>
          <w:t>The availability indication conveyed by PEI should be supported.</w:t>
        </w:r>
      </w:hyperlink>
    </w:p>
    <w:p w:rsidR="0029479C" w:rsidRDefault="0070654E">
      <w:pPr>
        <w:pStyle w:val="10"/>
        <w:tabs>
          <w:tab w:val="left" w:pos="1282"/>
        </w:tabs>
        <w:spacing w:before="120" w:after="120"/>
        <w:jc w:val="both"/>
        <w:rPr>
          <w:rFonts w:asciiTheme="minorHAnsi" w:hAnsiTheme="minorHAnsi" w:cstheme="minorBidi"/>
          <w:b w:val="0"/>
          <w:bCs w:val="0"/>
          <w:i w:val="0"/>
          <w:iCs w:val="0"/>
          <w:kern w:val="0"/>
          <w:sz w:val="22"/>
          <w:szCs w:val="22"/>
        </w:rPr>
      </w:pPr>
      <w:hyperlink w:anchor="_Toc83732681" w:history="1">
        <w:r w:rsidR="00A15FD1">
          <w:rPr>
            <w:rStyle w:val="af"/>
            <w:rFonts w:eastAsia="宋体"/>
            <w:i w:val="0"/>
          </w:rPr>
          <w:t>Proposal 6:</w:t>
        </w:r>
        <w:r w:rsidR="00A15FD1">
          <w:rPr>
            <w:rFonts w:asciiTheme="minorHAnsi" w:hAnsiTheme="minorHAnsi" w:cstheme="minorBidi"/>
            <w:b w:val="0"/>
            <w:bCs w:val="0"/>
            <w:i w:val="0"/>
            <w:iCs w:val="0"/>
            <w:kern w:val="0"/>
            <w:sz w:val="22"/>
            <w:szCs w:val="22"/>
          </w:rPr>
          <w:tab/>
        </w:r>
        <w:r w:rsidR="00A15FD1">
          <w:rPr>
            <w:rStyle w:val="af"/>
            <w:i w:val="0"/>
          </w:rPr>
          <w:t>The SI change and ETWS information carried by PEI should be considered.</w:t>
        </w:r>
      </w:hyperlink>
    </w:p>
    <w:p w:rsidR="0029479C" w:rsidRDefault="0070654E">
      <w:pPr>
        <w:pStyle w:val="10"/>
        <w:tabs>
          <w:tab w:val="left" w:pos="1282"/>
        </w:tabs>
        <w:spacing w:before="120" w:after="120"/>
        <w:jc w:val="both"/>
        <w:rPr>
          <w:rFonts w:asciiTheme="minorHAnsi" w:hAnsiTheme="minorHAnsi" w:cstheme="minorBidi"/>
          <w:b w:val="0"/>
          <w:bCs w:val="0"/>
          <w:i w:val="0"/>
          <w:iCs w:val="0"/>
          <w:kern w:val="0"/>
          <w:sz w:val="22"/>
          <w:szCs w:val="22"/>
        </w:rPr>
      </w:pPr>
      <w:hyperlink w:anchor="_Toc83732682" w:history="1">
        <w:r w:rsidR="00A15FD1">
          <w:rPr>
            <w:rStyle w:val="af"/>
            <w:rFonts w:eastAsia="宋体"/>
            <w:i w:val="0"/>
          </w:rPr>
          <w:t>Proposal 7:</w:t>
        </w:r>
        <w:r w:rsidR="00A15FD1">
          <w:rPr>
            <w:rFonts w:asciiTheme="minorHAnsi" w:hAnsiTheme="minorHAnsi" w:cstheme="minorBidi"/>
            <w:b w:val="0"/>
            <w:bCs w:val="0"/>
            <w:i w:val="0"/>
            <w:iCs w:val="0"/>
            <w:kern w:val="0"/>
            <w:sz w:val="22"/>
            <w:szCs w:val="22"/>
          </w:rPr>
          <w:tab/>
        </w:r>
        <w:r w:rsidR="00A15FD1">
          <w:rPr>
            <w:rStyle w:val="af"/>
            <w:i w:val="0"/>
          </w:rPr>
          <w:t>Support bitmap mapping method for sub-grouping indication.</w:t>
        </w:r>
      </w:hyperlink>
    </w:p>
    <w:p w:rsidR="0029479C" w:rsidRDefault="0070654E">
      <w:pPr>
        <w:pStyle w:val="10"/>
        <w:tabs>
          <w:tab w:val="left" w:pos="1282"/>
        </w:tabs>
        <w:spacing w:before="120" w:after="120"/>
        <w:jc w:val="both"/>
        <w:rPr>
          <w:rFonts w:asciiTheme="minorHAnsi" w:hAnsiTheme="minorHAnsi" w:cstheme="minorBidi"/>
          <w:b w:val="0"/>
          <w:bCs w:val="0"/>
          <w:i w:val="0"/>
          <w:iCs w:val="0"/>
          <w:kern w:val="0"/>
          <w:sz w:val="22"/>
          <w:szCs w:val="22"/>
        </w:rPr>
      </w:pPr>
      <w:hyperlink w:anchor="_Toc83732683" w:history="1">
        <w:r w:rsidR="00A15FD1">
          <w:rPr>
            <w:rStyle w:val="af"/>
            <w:rFonts w:eastAsia="宋体"/>
            <w:i w:val="0"/>
          </w:rPr>
          <w:t>Proposal 8:</w:t>
        </w:r>
        <w:r w:rsidR="00A15FD1">
          <w:rPr>
            <w:rFonts w:asciiTheme="minorHAnsi" w:hAnsiTheme="minorHAnsi" w:cstheme="minorBidi"/>
            <w:b w:val="0"/>
            <w:bCs w:val="0"/>
            <w:i w:val="0"/>
            <w:iCs w:val="0"/>
            <w:kern w:val="0"/>
            <w:sz w:val="22"/>
            <w:szCs w:val="22"/>
          </w:rPr>
          <w:tab/>
        </w:r>
        <w:r w:rsidR="00A15FD1">
          <w:rPr>
            <w:rStyle w:val="af"/>
            <w:i w:val="0"/>
          </w:rPr>
          <w:t>The PEI reception window is used to determine the PEI occasion, wherein PEI reception window can be configured by an offset between the start of PEI window and the associated PO, or a reference point and an offset between the start of PEI window and the reference point.</w:t>
        </w:r>
      </w:hyperlink>
    </w:p>
    <w:p w:rsidR="0029479C" w:rsidRDefault="0070654E">
      <w:pPr>
        <w:pStyle w:val="10"/>
        <w:tabs>
          <w:tab w:val="left" w:pos="1282"/>
        </w:tabs>
        <w:spacing w:before="120" w:after="120"/>
        <w:jc w:val="both"/>
        <w:rPr>
          <w:rFonts w:asciiTheme="minorHAnsi" w:hAnsiTheme="minorHAnsi" w:cstheme="minorBidi"/>
          <w:b w:val="0"/>
          <w:bCs w:val="0"/>
          <w:i w:val="0"/>
          <w:iCs w:val="0"/>
          <w:kern w:val="0"/>
          <w:sz w:val="22"/>
          <w:szCs w:val="22"/>
        </w:rPr>
      </w:pPr>
      <w:hyperlink w:anchor="_Toc83732684" w:history="1">
        <w:r w:rsidR="00A15FD1">
          <w:rPr>
            <w:rStyle w:val="af"/>
            <w:rFonts w:eastAsia="宋体"/>
            <w:i w:val="0"/>
          </w:rPr>
          <w:t>Proposal 9:</w:t>
        </w:r>
        <w:r w:rsidR="00A15FD1">
          <w:rPr>
            <w:rFonts w:asciiTheme="minorHAnsi" w:hAnsiTheme="minorHAnsi" w:cstheme="minorBidi"/>
            <w:b w:val="0"/>
            <w:bCs w:val="0"/>
            <w:i w:val="0"/>
            <w:iCs w:val="0"/>
            <w:kern w:val="0"/>
            <w:sz w:val="22"/>
            <w:szCs w:val="22"/>
          </w:rPr>
          <w:tab/>
        </w:r>
        <w:r w:rsidR="00A15FD1">
          <w:rPr>
            <w:rStyle w:val="af"/>
            <w:i w:val="0"/>
          </w:rPr>
          <w:t>The payload size of PDCCH-based PEI can be flexibly configured.</w:t>
        </w:r>
      </w:hyperlink>
    </w:p>
    <w:p w:rsidR="0029479C" w:rsidRDefault="0070654E">
      <w:pPr>
        <w:pStyle w:val="10"/>
        <w:tabs>
          <w:tab w:val="left" w:pos="1282"/>
        </w:tabs>
        <w:spacing w:before="120" w:after="120"/>
        <w:jc w:val="both"/>
        <w:rPr>
          <w:rFonts w:asciiTheme="minorHAnsi" w:hAnsiTheme="minorHAnsi" w:cstheme="minorBidi"/>
          <w:b w:val="0"/>
          <w:bCs w:val="0"/>
          <w:i w:val="0"/>
          <w:iCs w:val="0"/>
          <w:kern w:val="0"/>
          <w:sz w:val="22"/>
          <w:szCs w:val="22"/>
        </w:rPr>
      </w:pPr>
      <w:hyperlink w:anchor="_Toc83732685" w:history="1">
        <w:r w:rsidR="00A15FD1">
          <w:rPr>
            <w:rStyle w:val="af"/>
            <w:rFonts w:eastAsia="宋体"/>
            <w:i w:val="0"/>
          </w:rPr>
          <w:t>Proposal 10:</w:t>
        </w:r>
        <w:r w:rsidR="00A15FD1">
          <w:rPr>
            <w:rFonts w:asciiTheme="minorHAnsi" w:hAnsiTheme="minorHAnsi" w:cstheme="minorBidi"/>
            <w:b w:val="0"/>
            <w:bCs w:val="0"/>
            <w:i w:val="0"/>
            <w:iCs w:val="0"/>
            <w:kern w:val="0"/>
            <w:sz w:val="22"/>
            <w:szCs w:val="22"/>
          </w:rPr>
          <w:tab/>
        </w:r>
        <w:r w:rsidR="00A15FD1">
          <w:rPr>
            <w:rStyle w:val="af"/>
            <w:i w:val="0"/>
          </w:rPr>
          <w:t>The aggregation levels of PDCCH-based PEI can be configured</w:t>
        </w:r>
      </w:hyperlink>
    </w:p>
    <w:p w:rsidR="0029479C" w:rsidRDefault="0070654E">
      <w:pPr>
        <w:pStyle w:val="10"/>
        <w:tabs>
          <w:tab w:val="left" w:pos="1282"/>
        </w:tabs>
        <w:spacing w:before="120" w:after="120"/>
        <w:jc w:val="both"/>
        <w:rPr>
          <w:rFonts w:asciiTheme="minorHAnsi" w:hAnsiTheme="minorHAnsi" w:cstheme="minorBidi"/>
          <w:b w:val="0"/>
          <w:bCs w:val="0"/>
          <w:i w:val="0"/>
          <w:iCs w:val="0"/>
          <w:kern w:val="0"/>
          <w:sz w:val="22"/>
          <w:szCs w:val="22"/>
        </w:rPr>
      </w:pPr>
      <w:hyperlink w:anchor="_Toc83732686" w:history="1">
        <w:r w:rsidR="00A15FD1">
          <w:rPr>
            <w:rStyle w:val="af"/>
            <w:rFonts w:eastAsia="宋体"/>
            <w:i w:val="0"/>
          </w:rPr>
          <w:t>Proposal 11:</w:t>
        </w:r>
        <w:r w:rsidR="00A15FD1">
          <w:rPr>
            <w:rFonts w:asciiTheme="minorHAnsi" w:hAnsiTheme="minorHAnsi" w:cstheme="minorBidi"/>
            <w:b w:val="0"/>
            <w:bCs w:val="0"/>
            <w:i w:val="0"/>
            <w:iCs w:val="0"/>
            <w:kern w:val="0"/>
            <w:sz w:val="22"/>
            <w:szCs w:val="22"/>
          </w:rPr>
          <w:tab/>
        </w:r>
        <w:r w:rsidR="00A15FD1">
          <w:rPr>
            <w:rStyle w:val="af"/>
            <w:i w:val="0"/>
          </w:rPr>
          <w:t>A new RNTI with configurable value is preferred for the PDCCH based PEI with a new DCI format.</w:t>
        </w:r>
      </w:hyperlink>
    </w:p>
    <w:p w:rsidR="0029479C" w:rsidRDefault="0070654E">
      <w:pPr>
        <w:pStyle w:val="10"/>
        <w:tabs>
          <w:tab w:val="left" w:pos="1282"/>
        </w:tabs>
        <w:spacing w:before="120" w:after="120"/>
        <w:jc w:val="both"/>
        <w:rPr>
          <w:rFonts w:asciiTheme="minorHAnsi" w:hAnsiTheme="minorHAnsi" w:cstheme="minorBidi"/>
          <w:b w:val="0"/>
          <w:bCs w:val="0"/>
          <w:i w:val="0"/>
          <w:iCs w:val="0"/>
          <w:kern w:val="0"/>
          <w:sz w:val="22"/>
          <w:szCs w:val="22"/>
        </w:rPr>
      </w:pPr>
      <w:hyperlink w:anchor="_Toc83732687" w:history="1">
        <w:r w:rsidR="00A15FD1">
          <w:rPr>
            <w:rStyle w:val="af"/>
            <w:rFonts w:eastAsia="宋体"/>
            <w:i w:val="0"/>
          </w:rPr>
          <w:t>Proposal 12:</w:t>
        </w:r>
        <w:r w:rsidR="00A15FD1">
          <w:rPr>
            <w:rFonts w:asciiTheme="minorHAnsi" w:hAnsiTheme="minorHAnsi" w:cstheme="minorBidi"/>
            <w:b w:val="0"/>
            <w:bCs w:val="0"/>
            <w:i w:val="0"/>
            <w:iCs w:val="0"/>
            <w:kern w:val="0"/>
            <w:sz w:val="22"/>
            <w:szCs w:val="22"/>
          </w:rPr>
          <w:tab/>
        </w:r>
        <w:r w:rsidR="00A15FD1">
          <w:rPr>
            <w:rStyle w:val="af"/>
            <w:i w:val="0"/>
          </w:rPr>
          <w:t>The paging search space can be reused for PEI.</w:t>
        </w:r>
      </w:hyperlink>
    </w:p>
    <w:p w:rsidR="0029479C" w:rsidRDefault="00A15FD1">
      <w:pPr>
        <w:spacing w:before="120" w:after="120"/>
      </w:pPr>
      <w:r>
        <w:fldChar w:fldCharType="end"/>
      </w:r>
    </w:p>
    <w:p w:rsidR="0029479C" w:rsidRDefault="00A15FD1">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References</w:t>
      </w:r>
    </w:p>
    <w:p w:rsidR="0029479C" w:rsidRDefault="00A15FD1">
      <w:pPr>
        <w:pStyle w:val="References"/>
        <w:spacing w:before="120" w:after="120"/>
        <w:ind w:left="363" w:hanging="363"/>
        <w:rPr>
          <w:szCs w:val="20"/>
        </w:rPr>
      </w:pPr>
      <w:bookmarkStart w:id="79" w:name="_Ref17466"/>
      <w:r>
        <w:rPr>
          <w:rFonts w:hint="eastAsia"/>
          <w:szCs w:val="20"/>
        </w:rPr>
        <w:t>RP-212611, Moderator</w:t>
      </w:r>
      <w:r>
        <w:rPr>
          <w:rFonts w:hint="eastAsia"/>
          <w:szCs w:val="20"/>
        </w:rPr>
        <w:t>’</w:t>
      </w:r>
      <w:r>
        <w:rPr>
          <w:rFonts w:hint="eastAsia"/>
          <w:szCs w:val="20"/>
        </w:rPr>
        <w:t>s summary for discussion [93e-18-PowSav-WI]: Final Round, 3GPP TSG RAN#93-e, 2021-09.</w:t>
      </w:r>
    </w:p>
    <w:p w:rsidR="0029479C" w:rsidRDefault="00A15FD1">
      <w:pPr>
        <w:pStyle w:val="References"/>
        <w:spacing w:before="120" w:after="120"/>
        <w:ind w:left="363" w:hanging="363"/>
        <w:rPr>
          <w:szCs w:val="20"/>
        </w:rPr>
      </w:pPr>
      <w:r>
        <w:rPr>
          <w:rFonts w:hint="eastAsia"/>
          <w:szCs w:val="20"/>
        </w:rPr>
        <w:t>Chairman's Notes RAN1#105-e, 3GPP TSG RAN1#105-e, 2021-06.</w:t>
      </w:r>
    </w:p>
    <w:p w:rsidR="0029479C" w:rsidRDefault="00A15FD1">
      <w:pPr>
        <w:pStyle w:val="References"/>
        <w:spacing w:before="120" w:after="120"/>
        <w:ind w:left="363" w:hanging="363"/>
        <w:rPr>
          <w:szCs w:val="20"/>
        </w:rPr>
      </w:pPr>
      <w:r>
        <w:rPr>
          <w:rFonts w:hint="eastAsia"/>
          <w:szCs w:val="20"/>
        </w:rPr>
        <w:lastRenderedPageBreak/>
        <w:t xml:space="preserve">R1-2106521, Additional simulation results of UE power consumption in RRC idle and inactive state, ZTE, </w:t>
      </w:r>
      <w:proofErr w:type="spellStart"/>
      <w:r>
        <w:rPr>
          <w:rFonts w:hint="eastAsia"/>
          <w:szCs w:val="20"/>
        </w:rPr>
        <w:t>Sanechips</w:t>
      </w:r>
      <w:proofErr w:type="spellEnd"/>
      <w:r>
        <w:rPr>
          <w:rFonts w:hint="eastAsia"/>
          <w:szCs w:val="20"/>
        </w:rPr>
        <w:t>, 2021-08.</w:t>
      </w:r>
    </w:p>
    <w:p w:rsidR="0029479C" w:rsidRDefault="00A15FD1">
      <w:pPr>
        <w:pStyle w:val="References"/>
        <w:spacing w:before="120" w:after="120"/>
        <w:ind w:left="363" w:hanging="363"/>
        <w:rPr>
          <w:szCs w:val="20"/>
        </w:rPr>
      </w:pPr>
      <w:r>
        <w:rPr>
          <w:rFonts w:hint="eastAsia"/>
          <w:szCs w:val="20"/>
        </w:rPr>
        <w:t xml:space="preserve">R1-2108866, Additional simulation results of UE power consumption in RRC idle and inactive state, ZTE, </w:t>
      </w:r>
      <w:proofErr w:type="spellStart"/>
      <w:r>
        <w:rPr>
          <w:rFonts w:hint="eastAsia"/>
          <w:szCs w:val="20"/>
        </w:rPr>
        <w:t>Sanechips</w:t>
      </w:r>
      <w:proofErr w:type="spellEnd"/>
      <w:r>
        <w:rPr>
          <w:rFonts w:hint="eastAsia"/>
          <w:szCs w:val="20"/>
        </w:rPr>
        <w:t>, 2021-10</w:t>
      </w:r>
    </w:p>
    <w:bookmarkEnd w:id="79"/>
    <w:p w:rsidR="0029479C" w:rsidRDefault="0029479C">
      <w:pPr>
        <w:pStyle w:val="References"/>
        <w:numPr>
          <w:ilvl w:val="0"/>
          <w:numId w:val="0"/>
        </w:numPr>
        <w:spacing w:before="120" w:after="120"/>
        <w:rPr>
          <w:szCs w:val="20"/>
        </w:rPr>
      </w:pPr>
    </w:p>
    <w:p w:rsidR="0029479C" w:rsidRDefault="00A15FD1">
      <w:pPr>
        <w:spacing w:before="120" w:after="120" w:line="260" w:lineRule="auto"/>
        <w:jc w:val="center"/>
        <w:rPr>
          <w:sz w:val="20"/>
        </w:rPr>
      </w:pPr>
      <w:r>
        <w:t xml:space="preserve"> </w:t>
      </w:r>
    </w:p>
    <w:p w:rsidR="0029479C" w:rsidRDefault="0029479C">
      <w:pPr>
        <w:spacing w:beforeLines="0" w:afterLines="0"/>
        <w:jc w:val="left"/>
      </w:pPr>
    </w:p>
    <w:sectPr w:rsidR="0029479C">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654E" w:rsidRDefault="0070654E">
      <w:pPr>
        <w:spacing w:before="120" w:after="120" w:line="240" w:lineRule="auto"/>
      </w:pPr>
      <w:r>
        <w:separator/>
      </w:r>
    </w:p>
  </w:endnote>
  <w:endnote w:type="continuationSeparator" w:id="0">
    <w:p w:rsidR="0070654E" w:rsidRDefault="0070654E">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79C" w:rsidRDefault="0029479C">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79C" w:rsidRDefault="00A15FD1">
    <w:pPr>
      <w:pStyle w:val="a6"/>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9479C" w:rsidRDefault="00A15FD1">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D9619E">
                            <w:rPr>
                              <w:noProof/>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29479C" w:rsidRDefault="00A15FD1">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D9619E">
                      <w:rPr>
                        <w:noProof/>
                      </w:rPr>
                      <w:t>2</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79C" w:rsidRDefault="0029479C">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654E" w:rsidRDefault="0070654E">
      <w:pPr>
        <w:spacing w:before="120" w:after="120" w:line="240" w:lineRule="auto"/>
      </w:pPr>
      <w:r>
        <w:separator/>
      </w:r>
    </w:p>
  </w:footnote>
  <w:footnote w:type="continuationSeparator" w:id="0">
    <w:p w:rsidR="0070654E" w:rsidRDefault="0070654E">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79C" w:rsidRDefault="0029479C">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79C" w:rsidRDefault="0029479C">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79C" w:rsidRDefault="0029479C">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96567CC"/>
    <w:multiLevelType w:val="singleLevel"/>
    <w:tmpl w:val="896567CC"/>
    <w:lvl w:ilvl="0">
      <w:start w:val="1"/>
      <w:numFmt w:val="bullet"/>
      <w:lvlText w:val=""/>
      <w:lvlJc w:val="left"/>
      <w:pPr>
        <w:ind w:left="420" w:hanging="420"/>
      </w:pPr>
      <w:rPr>
        <w:rFonts w:ascii="Wingdings" w:hAnsi="Wingdings" w:hint="default"/>
        <w:sz w:val="10"/>
        <w:szCs w:val="10"/>
      </w:rPr>
    </w:lvl>
  </w:abstractNum>
  <w:abstractNum w:abstractNumId="1">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2">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3">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nsid w:val="E12E41F1"/>
    <w:multiLevelType w:val="singleLevel"/>
    <w:tmpl w:val="E12E41F1"/>
    <w:lvl w:ilvl="0">
      <w:start w:val="1"/>
      <w:numFmt w:val="bullet"/>
      <w:lvlText w:val=""/>
      <w:lvlJc w:val="left"/>
      <w:pPr>
        <w:ind w:left="420" w:hanging="420"/>
      </w:pPr>
      <w:rPr>
        <w:rFonts w:ascii="Wingdings" w:hAnsi="Wingdings" w:hint="default"/>
      </w:rPr>
    </w:lvl>
  </w:abstractNum>
  <w:abstractNum w:abstractNumId="5">
    <w:nsid w:val="073403D1"/>
    <w:multiLevelType w:val="multilevel"/>
    <w:tmpl w:val="073403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nsid w:val="09712630"/>
    <w:multiLevelType w:val="singleLevel"/>
    <w:tmpl w:val="09712630"/>
    <w:lvl w:ilvl="0">
      <w:start w:val="1"/>
      <w:numFmt w:val="bullet"/>
      <w:lvlText w:val=""/>
      <w:lvlJc w:val="left"/>
      <w:pPr>
        <w:ind w:left="420" w:hanging="420"/>
      </w:pPr>
      <w:rPr>
        <w:rFonts w:ascii="Wingdings" w:hAnsi="Wingdings" w:hint="default"/>
      </w:rPr>
    </w:lvl>
  </w:abstractNum>
  <w:abstractNum w:abstractNumId="7">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3"/>
      <w:suff w:val="nothing"/>
      <w:lvlText w:val="%1.%2.%3  "/>
      <w:lvlJc w:val="left"/>
      <w:pPr>
        <w:ind w:left="426"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nsid w:val="29675DE3"/>
    <w:multiLevelType w:val="singleLevel"/>
    <w:tmpl w:val="29675DE3"/>
    <w:lvl w:ilvl="0">
      <w:start w:val="1"/>
      <w:numFmt w:val="bullet"/>
      <w:lvlText w:val=""/>
      <w:lvlJc w:val="left"/>
      <w:pPr>
        <w:ind w:left="420" w:hanging="420"/>
      </w:pPr>
      <w:rPr>
        <w:rFonts w:ascii="Wingdings" w:hAnsi="Wingdings" w:hint="default"/>
        <w:sz w:val="16"/>
      </w:rPr>
    </w:lvl>
  </w:abstractNum>
  <w:abstractNum w:abstractNumId="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nsid w:val="463A60C9"/>
    <w:multiLevelType w:val="multilevel"/>
    <w:tmpl w:val="463A60C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2">
    <w:nsid w:val="72AC6F4C"/>
    <w:multiLevelType w:val="multilevel"/>
    <w:tmpl w:val="72AC6F4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7344357E"/>
    <w:multiLevelType w:val="singleLevel"/>
    <w:tmpl w:val="7344357E"/>
    <w:lvl w:ilvl="0">
      <w:start w:val="1"/>
      <w:numFmt w:val="bullet"/>
      <w:lvlText w:val=""/>
      <w:lvlJc w:val="left"/>
      <w:pPr>
        <w:ind w:left="420" w:hanging="420"/>
      </w:pPr>
      <w:rPr>
        <w:rFonts w:ascii="Wingdings" w:hAnsi="Wingdings" w:hint="default"/>
        <w:sz w:val="10"/>
        <w:szCs w:val="10"/>
      </w:rPr>
    </w:lvl>
  </w:abstractNum>
  <w:abstractNum w:abstractNumId="14">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7"/>
  </w:num>
  <w:num w:numId="2">
    <w:abstractNumId w:val="1"/>
  </w:num>
  <w:num w:numId="3">
    <w:abstractNumId w:val="3"/>
  </w:num>
  <w:num w:numId="4">
    <w:abstractNumId w:val="14"/>
  </w:num>
  <w:num w:numId="5">
    <w:abstractNumId w:val="2"/>
  </w:num>
  <w:num w:numId="6">
    <w:abstractNumId w:val="11"/>
  </w:num>
  <w:num w:numId="7">
    <w:abstractNumId w:val="9"/>
  </w:num>
  <w:num w:numId="8">
    <w:abstractNumId w:val="8"/>
  </w:num>
  <w:num w:numId="9">
    <w:abstractNumId w:val="0"/>
  </w:num>
  <w:num w:numId="10">
    <w:abstractNumId w:val="6"/>
  </w:num>
  <w:num w:numId="11">
    <w:abstractNumId w:val="5"/>
  </w:num>
  <w:num w:numId="12">
    <w:abstractNumId w:val="10"/>
  </w:num>
  <w:num w:numId="13">
    <w:abstractNumId w:val="13"/>
  </w:num>
  <w:num w:numId="14">
    <w:abstractNumId w:val="1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B0F"/>
    <w:rsid w:val="00012E89"/>
    <w:rsid w:val="00013735"/>
    <w:rsid w:val="00015154"/>
    <w:rsid w:val="00015BFB"/>
    <w:rsid w:val="00015EDB"/>
    <w:rsid w:val="00026E93"/>
    <w:rsid w:val="00042B43"/>
    <w:rsid w:val="00042E39"/>
    <w:rsid w:val="0004491B"/>
    <w:rsid w:val="00064D22"/>
    <w:rsid w:val="000658C9"/>
    <w:rsid w:val="000777BE"/>
    <w:rsid w:val="00080105"/>
    <w:rsid w:val="00093915"/>
    <w:rsid w:val="0009787C"/>
    <w:rsid w:val="000A0061"/>
    <w:rsid w:val="000A6B3B"/>
    <w:rsid w:val="000B63CC"/>
    <w:rsid w:val="000C7C50"/>
    <w:rsid w:val="000D07D4"/>
    <w:rsid w:val="000D26FB"/>
    <w:rsid w:val="000E501F"/>
    <w:rsid w:val="000F65FF"/>
    <w:rsid w:val="000F72AD"/>
    <w:rsid w:val="001034DA"/>
    <w:rsid w:val="0010617D"/>
    <w:rsid w:val="001163CA"/>
    <w:rsid w:val="001452CB"/>
    <w:rsid w:val="001506E9"/>
    <w:rsid w:val="00166DD7"/>
    <w:rsid w:val="00172A27"/>
    <w:rsid w:val="0019443E"/>
    <w:rsid w:val="001B6A16"/>
    <w:rsid w:val="001C396E"/>
    <w:rsid w:val="001E4ADD"/>
    <w:rsid w:val="001E68D2"/>
    <w:rsid w:val="00200427"/>
    <w:rsid w:val="002040EC"/>
    <w:rsid w:val="00204BEB"/>
    <w:rsid w:val="00217072"/>
    <w:rsid w:val="002217CD"/>
    <w:rsid w:val="002254E5"/>
    <w:rsid w:val="00235CA8"/>
    <w:rsid w:val="002460EB"/>
    <w:rsid w:val="00266EB2"/>
    <w:rsid w:val="0026734A"/>
    <w:rsid w:val="00272E7B"/>
    <w:rsid w:val="00291E13"/>
    <w:rsid w:val="00292BDC"/>
    <w:rsid w:val="0029479C"/>
    <w:rsid w:val="002A1851"/>
    <w:rsid w:val="002B3F85"/>
    <w:rsid w:val="002B4EB7"/>
    <w:rsid w:val="002B532D"/>
    <w:rsid w:val="002C06E5"/>
    <w:rsid w:val="002C1973"/>
    <w:rsid w:val="002C39E2"/>
    <w:rsid w:val="002D37B3"/>
    <w:rsid w:val="002F25AA"/>
    <w:rsid w:val="00303048"/>
    <w:rsid w:val="00311DAC"/>
    <w:rsid w:val="00331B1C"/>
    <w:rsid w:val="00331EF2"/>
    <w:rsid w:val="00334743"/>
    <w:rsid w:val="00354570"/>
    <w:rsid w:val="003565E9"/>
    <w:rsid w:val="00365D66"/>
    <w:rsid w:val="00367434"/>
    <w:rsid w:val="00367EF9"/>
    <w:rsid w:val="00370C23"/>
    <w:rsid w:val="00371CBB"/>
    <w:rsid w:val="00375A07"/>
    <w:rsid w:val="003766C6"/>
    <w:rsid w:val="00377BC5"/>
    <w:rsid w:val="00380742"/>
    <w:rsid w:val="00396ADB"/>
    <w:rsid w:val="003A103D"/>
    <w:rsid w:val="003A7E56"/>
    <w:rsid w:val="003B1149"/>
    <w:rsid w:val="003B217C"/>
    <w:rsid w:val="003C31D2"/>
    <w:rsid w:val="003D1DD7"/>
    <w:rsid w:val="003D2C54"/>
    <w:rsid w:val="003E38AE"/>
    <w:rsid w:val="003E4BBB"/>
    <w:rsid w:val="004265D0"/>
    <w:rsid w:val="004326F4"/>
    <w:rsid w:val="00441FB9"/>
    <w:rsid w:val="0044362B"/>
    <w:rsid w:val="00452AB6"/>
    <w:rsid w:val="00453986"/>
    <w:rsid w:val="0045623B"/>
    <w:rsid w:val="00461AA7"/>
    <w:rsid w:val="00462DF1"/>
    <w:rsid w:val="00476112"/>
    <w:rsid w:val="00493873"/>
    <w:rsid w:val="00496216"/>
    <w:rsid w:val="004A5821"/>
    <w:rsid w:val="004C05FA"/>
    <w:rsid w:val="004C1151"/>
    <w:rsid w:val="004C7FE3"/>
    <w:rsid w:val="004F1990"/>
    <w:rsid w:val="004F342B"/>
    <w:rsid w:val="004F7324"/>
    <w:rsid w:val="00500199"/>
    <w:rsid w:val="00503141"/>
    <w:rsid w:val="00517339"/>
    <w:rsid w:val="005212D2"/>
    <w:rsid w:val="005228C9"/>
    <w:rsid w:val="00522A39"/>
    <w:rsid w:val="0052624F"/>
    <w:rsid w:val="005420CA"/>
    <w:rsid w:val="005436CE"/>
    <w:rsid w:val="005439D4"/>
    <w:rsid w:val="00546231"/>
    <w:rsid w:val="005650A3"/>
    <w:rsid w:val="00566FDE"/>
    <w:rsid w:val="005802EF"/>
    <w:rsid w:val="00583697"/>
    <w:rsid w:val="0058704C"/>
    <w:rsid w:val="00597ADE"/>
    <w:rsid w:val="005B065E"/>
    <w:rsid w:val="005D14DB"/>
    <w:rsid w:val="005E6D49"/>
    <w:rsid w:val="005F1A12"/>
    <w:rsid w:val="005F38D1"/>
    <w:rsid w:val="005F3D0F"/>
    <w:rsid w:val="0062153B"/>
    <w:rsid w:val="0062167D"/>
    <w:rsid w:val="00633C6F"/>
    <w:rsid w:val="0063757E"/>
    <w:rsid w:val="006432A2"/>
    <w:rsid w:val="00643612"/>
    <w:rsid w:val="00645E5F"/>
    <w:rsid w:val="00671B8B"/>
    <w:rsid w:val="00677C91"/>
    <w:rsid w:val="0068648D"/>
    <w:rsid w:val="006970AA"/>
    <w:rsid w:val="006A072C"/>
    <w:rsid w:val="006B10CB"/>
    <w:rsid w:val="006B63E2"/>
    <w:rsid w:val="006C61BF"/>
    <w:rsid w:val="006D3CB8"/>
    <w:rsid w:val="006D42B1"/>
    <w:rsid w:val="006E3C24"/>
    <w:rsid w:val="006E69D1"/>
    <w:rsid w:val="006F0B4C"/>
    <w:rsid w:val="006F7D0E"/>
    <w:rsid w:val="0070654E"/>
    <w:rsid w:val="00711D48"/>
    <w:rsid w:val="00713810"/>
    <w:rsid w:val="007166E8"/>
    <w:rsid w:val="0074089D"/>
    <w:rsid w:val="00746009"/>
    <w:rsid w:val="007476DD"/>
    <w:rsid w:val="00751A1E"/>
    <w:rsid w:val="00781710"/>
    <w:rsid w:val="00795FC2"/>
    <w:rsid w:val="007A0C1E"/>
    <w:rsid w:val="007A24B9"/>
    <w:rsid w:val="007A5CFF"/>
    <w:rsid w:val="007B0734"/>
    <w:rsid w:val="007B379C"/>
    <w:rsid w:val="007C6A0A"/>
    <w:rsid w:val="007E53B8"/>
    <w:rsid w:val="007F5FF3"/>
    <w:rsid w:val="007F6B9D"/>
    <w:rsid w:val="008026B7"/>
    <w:rsid w:val="00812554"/>
    <w:rsid w:val="00817DE9"/>
    <w:rsid w:val="00830ED1"/>
    <w:rsid w:val="00847916"/>
    <w:rsid w:val="00856229"/>
    <w:rsid w:val="00862777"/>
    <w:rsid w:val="008632D8"/>
    <w:rsid w:val="008650A2"/>
    <w:rsid w:val="0087435E"/>
    <w:rsid w:val="008776C3"/>
    <w:rsid w:val="00880E89"/>
    <w:rsid w:val="00894AD9"/>
    <w:rsid w:val="008A0205"/>
    <w:rsid w:val="008A05C1"/>
    <w:rsid w:val="008B7017"/>
    <w:rsid w:val="008B7CB0"/>
    <w:rsid w:val="008B7DB1"/>
    <w:rsid w:val="008C1A97"/>
    <w:rsid w:val="008C3050"/>
    <w:rsid w:val="008C329B"/>
    <w:rsid w:val="008C72D3"/>
    <w:rsid w:val="008D1D47"/>
    <w:rsid w:val="008D230F"/>
    <w:rsid w:val="008D38A0"/>
    <w:rsid w:val="008D54B2"/>
    <w:rsid w:val="008E0B96"/>
    <w:rsid w:val="008E587D"/>
    <w:rsid w:val="008E617E"/>
    <w:rsid w:val="008F11DE"/>
    <w:rsid w:val="0090147B"/>
    <w:rsid w:val="00907CB9"/>
    <w:rsid w:val="0091556B"/>
    <w:rsid w:val="00930332"/>
    <w:rsid w:val="00931643"/>
    <w:rsid w:val="00953CDE"/>
    <w:rsid w:val="0096044C"/>
    <w:rsid w:val="00992CAA"/>
    <w:rsid w:val="0099436F"/>
    <w:rsid w:val="009944AA"/>
    <w:rsid w:val="009C4832"/>
    <w:rsid w:val="009D0920"/>
    <w:rsid w:val="009D1C4D"/>
    <w:rsid w:val="009D1E4F"/>
    <w:rsid w:val="009E3CEF"/>
    <w:rsid w:val="00A027EF"/>
    <w:rsid w:val="00A02943"/>
    <w:rsid w:val="00A03B7D"/>
    <w:rsid w:val="00A06031"/>
    <w:rsid w:val="00A12F88"/>
    <w:rsid w:val="00A14FF2"/>
    <w:rsid w:val="00A15FD1"/>
    <w:rsid w:val="00A4166A"/>
    <w:rsid w:val="00A46CC4"/>
    <w:rsid w:val="00A54D0B"/>
    <w:rsid w:val="00A57F9E"/>
    <w:rsid w:val="00A8126A"/>
    <w:rsid w:val="00A878AE"/>
    <w:rsid w:val="00A92636"/>
    <w:rsid w:val="00A941B0"/>
    <w:rsid w:val="00AA6E04"/>
    <w:rsid w:val="00AD4752"/>
    <w:rsid w:val="00AE5669"/>
    <w:rsid w:val="00AF7C15"/>
    <w:rsid w:val="00B35BD3"/>
    <w:rsid w:val="00B61CE0"/>
    <w:rsid w:val="00B66332"/>
    <w:rsid w:val="00B81A6F"/>
    <w:rsid w:val="00B9484C"/>
    <w:rsid w:val="00BA715F"/>
    <w:rsid w:val="00BC22AE"/>
    <w:rsid w:val="00BD47B2"/>
    <w:rsid w:val="00BD52A6"/>
    <w:rsid w:val="00BD6309"/>
    <w:rsid w:val="00BE559C"/>
    <w:rsid w:val="00BE5EFB"/>
    <w:rsid w:val="00BE641D"/>
    <w:rsid w:val="00BF1E7C"/>
    <w:rsid w:val="00BF4B0E"/>
    <w:rsid w:val="00C039ED"/>
    <w:rsid w:val="00C134B6"/>
    <w:rsid w:val="00C137DB"/>
    <w:rsid w:val="00C166BC"/>
    <w:rsid w:val="00C17EF0"/>
    <w:rsid w:val="00C239A8"/>
    <w:rsid w:val="00C27740"/>
    <w:rsid w:val="00C37341"/>
    <w:rsid w:val="00C406CC"/>
    <w:rsid w:val="00C51FCC"/>
    <w:rsid w:val="00C57F2A"/>
    <w:rsid w:val="00C637DC"/>
    <w:rsid w:val="00C66968"/>
    <w:rsid w:val="00C67B31"/>
    <w:rsid w:val="00C67F5E"/>
    <w:rsid w:val="00C774C8"/>
    <w:rsid w:val="00C91D7F"/>
    <w:rsid w:val="00CA1DBD"/>
    <w:rsid w:val="00CA6701"/>
    <w:rsid w:val="00CB2B6E"/>
    <w:rsid w:val="00CB7131"/>
    <w:rsid w:val="00CC4532"/>
    <w:rsid w:val="00CD29F4"/>
    <w:rsid w:val="00CD3761"/>
    <w:rsid w:val="00CE1AD7"/>
    <w:rsid w:val="00D01D40"/>
    <w:rsid w:val="00D11131"/>
    <w:rsid w:val="00D20A97"/>
    <w:rsid w:val="00D26B1F"/>
    <w:rsid w:val="00D40D43"/>
    <w:rsid w:val="00D50681"/>
    <w:rsid w:val="00D50800"/>
    <w:rsid w:val="00D5574F"/>
    <w:rsid w:val="00D62C07"/>
    <w:rsid w:val="00D70ECB"/>
    <w:rsid w:val="00D9619E"/>
    <w:rsid w:val="00DA1F59"/>
    <w:rsid w:val="00DA5F51"/>
    <w:rsid w:val="00DB0ACF"/>
    <w:rsid w:val="00DB6BD7"/>
    <w:rsid w:val="00DC0F8B"/>
    <w:rsid w:val="00DD4B55"/>
    <w:rsid w:val="00DF1617"/>
    <w:rsid w:val="00E06B21"/>
    <w:rsid w:val="00E2140B"/>
    <w:rsid w:val="00E31E1F"/>
    <w:rsid w:val="00E40569"/>
    <w:rsid w:val="00E40E07"/>
    <w:rsid w:val="00E56DD3"/>
    <w:rsid w:val="00E61B28"/>
    <w:rsid w:val="00E62A3D"/>
    <w:rsid w:val="00E67314"/>
    <w:rsid w:val="00E7336C"/>
    <w:rsid w:val="00E77887"/>
    <w:rsid w:val="00E85B8C"/>
    <w:rsid w:val="00EA4E8D"/>
    <w:rsid w:val="00EA62E5"/>
    <w:rsid w:val="00EA76D3"/>
    <w:rsid w:val="00EC0827"/>
    <w:rsid w:val="00F01154"/>
    <w:rsid w:val="00F4095D"/>
    <w:rsid w:val="00F40E52"/>
    <w:rsid w:val="00F60223"/>
    <w:rsid w:val="00F765F4"/>
    <w:rsid w:val="00F958CC"/>
    <w:rsid w:val="00F97C0B"/>
    <w:rsid w:val="00FA359D"/>
    <w:rsid w:val="00FA3BED"/>
    <w:rsid w:val="00FA552B"/>
    <w:rsid w:val="00FA62E6"/>
    <w:rsid w:val="00FB5ABE"/>
    <w:rsid w:val="00FD2DE4"/>
    <w:rsid w:val="00FE01EF"/>
    <w:rsid w:val="00FE4365"/>
    <w:rsid w:val="00FF1E19"/>
    <w:rsid w:val="00FF2B35"/>
    <w:rsid w:val="00FF2D5B"/>
    <w:rsid w:val="01166C39"/>
    <w:rsid w:val="011C748B"/>
    <w:rsid w:val="01307DB8"/>
    <w:rsid w:val="01764F01"/>
    <w:rsid w:val="019E0494"/>
    <w:rsid w:val="01BC6EAA"/>
    <w:rsid w:val="01BD387A"/>
    <w:rsid w:val="01EA1306"/>
    <w:rsid w:val="01ED62FC"/>
    <w:rsid w:val="01FD3C72"/>
    <w:rsid w:val="022371D7"/>
    <w:rsid w:val="024D6B6A"/>
    <w:rsid w:val="02585A0D"/>
    <w:rsid w:val="026B46B1"/>
    <w:rsid w:val="029B04E7"/>
    <w:rsid w:val="02B53888"/>
    <w:rsid w:val="02F172AC"/>
    <w:rsid w:val="03073BDC"/>
    <w:rsid w:val="032134E9"/>
    <w:rsid w:val="033F44DC"/>
    <w:rsid w:val="037B5FB5"/>
    <w:rsid w:val="03915DEB"/>
    <w:rsid w:val="03985ACE"/>
    <w:rsid w:val="03D4716A"/>
    <w:rsid w:val="042900C9"/>
    <w:rsid w:val="04A45057"/>
    <w:rsid w:val="04EE0CCB"/>
    <w:rsid w:val="0555228E"/>
    <w:rsid w:val="055870D1"/>
    <w:rsid w:val="056C3AED"/>
    <w:rsid w:val="058A1330"/>
    <w:rsid w:val="059D1E39"/>
    <w:rsid w:val="05E078B3"/>
    <w:rsid w:val="064035FC"/>
    <w:rsid w:val="066F1ED1"/>
    <w:rsid w:val="06D01934"/>
    <w:rsid w:val="070C599D"/>
    <w:rsid w:val="07250881"/>
    <w:rsid w:val="072B5A2B"/>
    <w:rsid w:val="07322F8B"/>
    <w:rsid w:val="07587973"/>
    <w:rsid w:val="075E42FF"/>
    <w:rsid w:val="077D0583"/>
    <w:rsid w:val="077E373B"/>
    <w:rsid w:val="079724D0"/>
    <w:rsid w:val="07A3082E"/>
    <w:rsid w:val="082A352F"/>
    <w:rsid w:val="084343C9"/>
    <w:rsid w:val="084D0ADD"/>
    <w:rsid w:val="084E1E18"/>
    <w:rsid w:val="08581907"/>
    <w:rsid w:val="088E2DBB"/>
    <w:rsid w:val="089D5DBC"/>
    <w:rsid w:val="08B05670"/>
    <w:rsid w:val="08C349D1"/>
    <w:rsid w:val="08C805D7"/>
    <w:rsid w:val="08CC0D13"/>
    <w:rsid w:val="09082337"/>
    <w:rsid w:val="093D6246"/>
    <w:rsid w:val="094A5FC4"/>
    <w:rsid w:val="0993533A"/>
    <w:rsid w:val="09BE4947"/>
    <w:rsid w:val="09F67CD5"/>
    <w:rsid w:val="0A7B50B4"/>
    <w:rsid w:val="0A8A3FFF"/>
    <w:rsid w:val="0B2A6186"/>
    <w:rsid w:val="0B3D5147"/>
    <w:rsid w:val="0B6B20A7"/>
    <w:rsid w:val="0B9E71DF"/>
    <w:rsid w:val="0BB427D1"/>
    <w:rsid w:val="0BCD5C26"/>
    <w:rsid w:val="0BF10670"/>
    <w:rsid w:val="0C6F272A"/>
    <w:rsid w:val="0C9036C8"/>
    <w:rsid w:val="0C9D30C2"/>
    <w:rsid w:val="0CA126F2"/>
    <w:rsid w:val="0CA646D0"/>
    <w:rsid w:val="0CEA509E"/>
    <w:rsid w:val="0D2F3891"/>
    <w:rsid w:val="0D426E1A"/>
    <w:rsid w:val="0D9D65F4"/>
    <w:rsid w:val="0DEE7CA5"/>
    <w:rsid w:val="0E172BD0"/>
    <w:rsid w:val="0E347579"/>
    <w:rsid w:val="0E6A1ECE"/>
    <w:rsid w:val="0E8F0168"/>
    <w:rsid w:val="0E9B4F32"/>
    <w:rsid w:val="0EC34966"/>
    <w:rsid w:val="0F0B4FFE"/>
    <w:rsid w:val="0F123F4C"/>
    <w:rsid w:val="0F1E67DB"/>
    <w:rsid w:val="0F9861DB"/>
    <w:rsid w:val="0FA67E91"/>
    <w:rsid w:val="0FD80B60"/>
    <w:rsid w:val="0FDB5B48"/>
    <w:rsid w:val="10860503"/>
    <w:rsid w:val="109076CE"/>
    <w:rsid w:val="10A50104"/>
    <w:rsid w:val="10A85FA8"/>
    <w:rsid w:val="10B658BE"/>
    <w:rsid w:val="10BA5ACA"/>
    <w:rsid w:val="10C92880"/>
    <w:rsid w:val="10FA22E3"/>
    <w:rsid w:val="115B3410"/>
    <w:rsid w:val="117A531D"/>
    <w:rsid w:val="119D7849"/>
    <w:rsid w:val="11AC1F75"/>
    <w:rsid w:val="122658B9"/>
    <w:rsid w:val="1242135C"/>
    <w:rsid w:val="1256212E"/>
    <w:rsid w:val="12AE3906"/>
    <w:rsid w:val="12C76FC6"/>
    <w:rsid w:val="12CB14EC"/>
    <w:rsid w:val="12D00DD7"/>
    <w:rsid w:val="13344428"/>
    <w:rsid w:val="133C5CE2"/>
    <w:rsid w:val="133F535B"/>
    <w:rsid w:val="13660260"/>
    <w:rsid w:val="136C3D77"/>
    <w:rsid w:val="139D335C"/>
    <w:rsid w:val="13A1683F"/>
    <w:rsid w:val="13C2790D"/>
    <w:rsid w:val="13E5601F"/>
    <w:rsid w:val="141B6583"/>
    <w:rsid w:val="14400B3F"/>
    <w:rsid w:val="1442596B"/>
    <w:rsid w:val="144714E3"/>
    <w:rsid w:val="146A0337"/>
    <w:rsid w:val="14AC00B9"/>
    <w:rsid w:val="14D55B5C"/>
    <w:rsid w:val="14DA3DA1"/>
    <w:rsid w:val="14FC2402"/>
    <w:rsid w:val="1505370E"/>
    <w:rsid w:val="15284EB8"/>
    <w:rsid w:val="155F3495"/>
    <w:rsid w:val="15BB7E2E"/>
    <w:rsid w:val="164B2296"/>
    <w:rsid w:val="16AF6E20"/>
    <w:rsid w:val="17025890"/>
    <w:rsid w:val="17155857"/>
    <w:rsid w:val="173B456E"/>
    <w:rsid w:val="17950508"/>
    <w:rsid w:val="17C72718"/>
    <w:rsid w:val="18537599"/>
    <w:rsid w:val="18551679"/>
    <w:rsid w:val="188D68E8"/>
    <w:rsid w:val="189C69D9"/>
    <w:rsid w:val="18A34D06"/>
    <w:rsid w:val="18A72928"/>
    <w:rsid w:val="18C87C77"/>
    <w:rsid w:val="18F90C9A"/>
    <w:rsid w:val="19010C43"/>
    <w:rsid w:val="19013AC7"/>
    <w:rsid w:val="19084C73"/>
    <w:rsid w:val="194A0457"/>
    <w:rsid w:val="194F6F37"/>
    <w:rsid w:val="196018AD"/>
    <w:rsid w:val="196E5824"/>
    <w:rsid w:val="19713DD4"/>
    <w:rsid w:val="19AF5AFD"/>
    <w:rsid w:val="19BF7943"/>
    <w:rsid w:val="1A054259"/>
    <w:rsid w:val="1A097942"/>
    <w:rsid w:val="1ACB6909"/>
    <w:rsid w:val="1B0152D1"/>
    <w:rsid w:val="1B2B6940"/>
    <w:rsid w:val="1B5838BD"/>
    <w:rsid w:val="1B7F6005"/>
    <w:rsid w:val="1BA05608"/>
    <w:rsid w:val="1BAF4E35"/>
    <w:rsid w:val="1BAF6DD1"/>
    <w:rsid w:val="1BE82D8F"/>
    <w:rsid w:val="1C0F5C4A"/>
    <w:rsid w:val="1C132CB9"/>
    <w:rsid w:val="1C346C57"/>
    <w:rsid w:val="1CAA2901"/>
    <w:rsid w:val="1CB92F89"/>
    <w:rsid w:val="1CCC26CA"/>
    <w:rsid w:val="1D133E21"/>
    <w:rsid w:val="1D3A10D4"/>
    <w:rsid w:val="1D6041FB"/>
    <w:rsid w:val="1D61520F"/>
    <w:rsid w:val="1D786BCA"/>
    <w:rsid w:val="1D805936"/>
    <w:rsid w:val="1D843FB0"/>
    <w:rsid w:val="1DA83A0D"/>
    <w:rsid w:val="1DDF2ACE"/>
    <w:rsid w:val="1E94181D"/>
    <w:rsid w:val="1E9D6342"/>
    <w:rsid w:val="1EBF09C1"/>
    <w:rsid w:val="1ECD4B11"/>
    <w:rsid w:val="1ED879BC"/>
    <w:rsid w:val="1EED420F"/>
    <w:rsid w:val="1EF17B6F"/>
    <w:rsid w:val="1F4C62AC"/>
    <w:rsid w:val="1F6170A9"/>
    <w:rsid w:val="1F6200DE"/>
    <w:rsid w:val="1F652C38"/>
    <w:rsid w:val="1F9C5BBE"/>
    <w:rsid w:val="1FE14460"/>
    <w:rsid w:val="20200CA4"/>
    <w:rsid w:val="203063E1"/>
    <w:rsid w:val="204E6676"/>
    <w:rsid w:val="205C6F65"/>
    <w:rsid w:val="205F334B"/>
    <w:rsid w:val="20920951"/>
    <w:rsid w:val="20AA7DFE"/>
    <w:rsid w:val="20CB576A"/>
    <w:rsid w:val="20DC4C14"/>
    <w:rsid w:val="210634E6"/>
    <w:rsid w:val="21241A3D"/>
    <w:rsid w:val="215416B9"/>
    <w:rsid w:val="21822343"/>
    <w:rsid w:val="2194141D"/>
    <w:rsid w:val="2195668B"/>
    <w:rsid w:val="21A2535F"/>
    <w:rsid w:val="21A9601A"/>
    <w:rsid w:val="21AC0BE7"/>
    <w:rsid w:val="21BE044A"/>
    <w:rsid w:val="21BE5AD4"/>
    <w:rsid w:val="21CA2BAC"/>
    <w:rsid w:val="224E2FB0"/>
    <w:rsid w:val="22C67434"/>
    <w:rsid w:val="22C84A78"/>
    <w:rsid w:val="23081A49"/>
    <w:rsid w:val="23460B97"/>
    <w:rsid w:val="23A82A04"/>
    <w:rsid w:val="23D11AFC"/>
    <w:rsid w:val="24210188"/>
    <w:rsid w:val="243066C8"/>
    <w:rsid w:val="24582DBC"/>
    <w:rsid w:val="245C52F8"/>
    <w:rsid w:val="2463385E"/>
    <w:rsid w:val="24B3612C"/>
    <w:rsid w:val="24CB3B1A"/>
    <w:rsid w:val="24DC7AA4"/>
    <w:rsid w:val="250D568B"/>
    <w:rsid w:val="25134332"/>
    <w:rsid w:val="25191F5C"/>
    <w:rsid w:val="251E5D80"/>
    <w:rsid w:val="254C3941"/>
    <w:rsid w:val="25572F6C"/>
    <w:rsid w:val="256555F8"/>
    <w:rsid w:val="257E508F"/>
    <w:rsid w:val="25AA2ADA"/>
    <w:rsid w:val="25BF0A19"/>
    <w:rsid w:val="25CA37BB"/>
    <w:rsid w:val="25CB1963"/>
    <w:rsid w:val="25E06614"/>
    <w:rsid w:val="261A61EB"/>
    <w:rsid w:val="267E150F"/>
    <w:rsid w:val="26805650"/>
    <w:rsid w:val="26BF5712"/>
    <w:rsid w:val="26C46931"/>
    <w:rsid w:val="26F173AA"/>
    <w:rsid w:val="26F24A28"/>
    <w:rsid w:val="26F71EC7"/>
    <w:rsid w:val="274120CE"/>
    <w:rsid w:val="276D22A6"/>
    <w:rsid w:val="27805ED2"/>
    <w:rsid w:val="27AB7429"/>
    <w:rsid w:val="27B806C7"/>
    <w:rsid w:val="27C0593E"/>
    <w:rsid w:val="27F46C2F"/>
    <w:rsid w:val="27F713BD"/>
    <w:rsid w:val="280D0ABD"/>
    <w:rsid w:val="281418B3"/>
    <w:rsid w:val="285C053E"/>
    <w:rsid w:val="28641BC7"/>
    <w:rsid w:val="28706B14"/>
    <w:rsid w:val="28795D57"/>
    <w:rsid w:val="28CB2F20"/>
    <w:rsid w:val="290A7633"/>
    <w:rsid w:val="2945677B"/>
    <w:rsid w:val="296A164B"/>
    <w:rsid w:val="299711A3"/>
    <w:rsid w:val="29FA7F26"/>
    <w:rsid w:val="2A0F0262"/>
    <w:rsid w:val="2A11490E"/>
    <w:rsid w:val="2A24123C"/>
    <w:rsid w:val="2A7903F8"/>
    <w:rsid w:val="2A9E41A6"/>
    <w:rsid w:val="2AD176E8"/>
    <w:rsid w:val="2B774832"/>
    <w:rsid w:val="2BC93350"/>
    <w:rsid w:val="2BCA1C44"/>
    <w:rsid w:val="2BE1364E"/>
    <w:rsid w:val="2C0A1E9D"/>
    <w:rsid w:val="2C4735A9"/>
    <w:rsid w:val="2C5312D1"/>
    <w:rsid w:val="2C6137E6"/>
    <w:rsid w:val="2C9600AF"/>
    <w:rsid w:val="2C9B39D4"/>
    <w:rsid w:val="2CA1029C"/>
    <w:rsid w:val="2CDB2A32"/>
    <w:rsid w:val="2CE74D9A"/>
    <w:rsid w:val="2CE94FBB"/>
    <w:rsid w:val="2D036243"/>
    <w:rsid w:val="2D11052F"/>
    <w:rsid w:val="2D2713FE"/>
    <w:rsid w:val="2D644464"/>
    <w:rsid w:val="2DAA1531"/>
    <w:rsid w:val="2DD31482"/>
    <w:rsid w:val="2DED4837"/>
    <w:rsid w:val="2DF81D7C"/>
    <w:rsid w:val="2DFC12C6"/>
    <w:rsid w:val="2E592BD6"/>
    <w:rsid w:val="2E9F709C"/>
    <w:rsid w:val="2ED53BA8"/>
    <w:rsid w:val="2EED0A13"/>
    <w:rsid w:val="2F031089"/>
    <w:rsid w:val="2F1251F2"/>
    <w:rsid w:val="2F65609A"/>
    <w:rsid w:val="2FBD09F9"/>
    <w:rsid w:val="30660B82"/>
    <w:rsid w:val="30962F3E"/>
    <w:rsid w:val="309F648F"/>
    <w:rsid w:val="30AA51DE"/>
    <w:rsid w:val="30B43BCB"/>
    <w:rsid w:val="30D17E68"/>
    <w:rsid w:val="30E43B67"/>
    <w:rsid w:val="30FF2795"/>
    <w:rsid w:val="310E3D65"/>
    <w:rsid w:val="31481061"/>
    <w:rsid w:val="3164591C"/>
    <w:rsid w:val="317F78A7"/>
    <w:rsid w:val="3199741D"/>
    <w:rsid w:val="31A561FB"/>
    <w:rsid w:val="31AA2223"/>
    <w:rsid w:val="31C32453"/>
    <w:rsid w:val="31C63526"/>
    <w:rsid w:val="31FD180E"/>
    <w:rsid w:val="320B4CF3"/>
    <w:rsid w:val="3214373A"/>
    <w:rsid w:val="32586AD3"/>
    <w:rsid w:val="327F30CF"/>
    <w:rsid w:val="329A6ACE"/>
    <w:rsid w:val="32AB75FA"/>
    <w:rsid w:val="32C64BD3"/>
    <w:rsid w:val="334F3544"/>
    <w:rsid w:val="33834A37"/>
    <w:rsid w:val="33A253D1"/>
    <w:rsid w:val="33FF73F9"/>
    <w:rsid w:val="34371266"/>
    <w:rsid w:val="345B1306"/>
    <w:rsid w:val="348D3D32"/>
    <w:rsid w:val="34C215EF"/>
    <w:rsid w:val="34CB6483"/>
    <w:rsid w:val="34EC39C4"/>
    <w:rsid w:val="35191B59"/>
    <w:rsid w:val="35997ED3"/>
    <w:rsid w:val="35B0594E"/>
    <w:rsid w:val="35C47CF3"/>
    <w:rsid w:val="35D5780F"/>
    <w:rsid w:val="360673D5"/>
    <w:rsid w:val="360B1D73"/>
    <w:rsid w:val="360B7EE7"/>
    <w:rsid w:val="36157D72"/>
    <w:rsid w:val="361F3323"/>
    <w:rsid w:val="364A298F"/>
    <w:rsid w:val="364A7B2B"/>
    <w:rsid w:val="3659312E"/>
    <w:rsid w:val="3681117A"/>
    <w:rsid w:val="36E93760"/>
    <w:rsid w:val="3784394E"/>
    <w:rsid w:val="379B41C4"/>
    <w:rsid w:val="37A62041"/>
    <w:rsid w:val="37F25734"/>
    <w:rsid w:val="380A0B96"/>
    <w:rsid w:val="38337F5B"/>
    <w:rsid w:val="385135F5"/>
    <w:rsid w:val="385F665C"/>
    <w:rsid w:val="388E6551"/>
    <w:rsid w:val="38AE3BB0"/>
    <w:rsid w:val="38DC5505"/>
    <w:rsid w:val="391F7D60"/>
    <w:rsid w:val="392E58B6"/>
    <w:rsid w:val="39496AE3"/>
    <w:rsid w:val="3985660B"/>
    <w:rsid w:val="39BB13DA"/>
    <w:rsid w:val="39DB06B3"/>
    <w:rsid w:val="3A127976"/>
    <w:rsid w:val="3A1704BF"/>
    <w:rsid w:val="3A7A43B2"/>
    <w:rsid w:val="3A7E5091"/>
    <w:rsid w:val="3AC2467B"/>
    <w:rsid w:val="3AC253ED"/>
    <w:rsid w:val="3ACB5746"/>
    <w:rsid w:val="3AD258E7"/>
    <w:rsid w:val="3AE826D9"/>
    <w:rsid w:val="3B047F30"/>
    <w:rsid w:val="3B3664CC"/>
    <w:rsid w:val="3B673648"/>
    <w:rsid w:val="3BB20883"/>
    <w:rsid w:val="3BF5659F"/>
    <w:rsid w:val="3C134C38"/>
    <w:rsid w:val="3C394599"/>
    <w:rsid w:val="3C635BF2"/>
    <w:rsid w:val="3C7B540C"/>
    <w:rsid w:val="3C8C0B9E"/>
    <w:rsid w:val="3CE82456"/>
    <w:rsid w:val="3D0527AD"/>
    <w:rsid w:val="3D1D3E8C"/>
    <w:rsid w:val="3D7830E2"/>
    <w:rsid w:val="3D9F080E"/>
    <w:rsid w:val="3DA8275C"/>
    <w:rsid w:val="3DAD7029"/>
    <w:rsid w:val="3DDE6765"/>
    <w:rsid w:val="3E39525D"/>
    <w:rsid w:val="3E441C7D"/>
    <w:rsid w:val="3E7F0554"/>
    <w:rsid w:val="3ECB2614"/>
    <w:rsid w:val="3F104E7C"/>
    <w:rsid w:val="3F105BE8"/>
    <w:rsid w:val="3F1E19C9"/>
    <w:rsid w:val="3F8D2B60"/>
    <w:rsid w:val="3FC956FF"/>
    <w:rsid w:val="400131B8"/>
    <w:rsid w:val="40151C98"/>
    <w:rsid w:val="402B196F"/>
    <w:rsid w:val="40375763"/>
    <w:rsid w:val="406B12D1"/>
    <w:rsid w:val="40903A47"/>
    <w:rsid w:val="409C0D37"/>
    <w:rsid w:val="40A36A71"/>
    <w:rsid w:val="40CB3E39"/>
    <w:rsid w:val="40D07704"/>
    <w:rsid w:val="40EA5ADE"/>
    <w:rsid w:val="410E4736"/>
    <w:rsid w:val="414D38DC"/>
    <w:rsid w:val="4169226D"/>
    <w:rsid w:val="419752E1"/>
    <w:rsid w:val="41A14CA0"/>
    <w:rsid w:val="41BC286E"/>
    <w:rsid w:val="41C577BA"/>
    <w:rsid w:val="41D3631F"/>
    <w:rsid w:val="41F46181"/>
    <w:rsid w:val="41F466FD"/>
    <w:rsid w:val="422B0BD2"/>
    <w:rsid w:val="427E2C9C"/>
    <w:rsid w:val="428434A1"/>
    <w:rsid w:val="42A67A24"/>
    <w:rsid w:val="42B84DF7"/>
    <w:rsid w:val="42D846B9"/>
    <w:rsid w:val="43015D68"/>
    <w:rsid w:val="432B156A"/>
    <w:rsid w:val="433817F8"/>
    <w:rsid w:val="43625625"/>
    <w:rsid w:val="43B97E64"/>
    <w:rsid w:val="43D54F80"/>
    <w:rsid w:val="440D5045"/>
    <w:rsid w:val="4466378D"/>
    <w:rsid w:val="446D6BBF"/>
    <w:rsid w:val="44F5724A"/>
    <w:rsid w:val="4555581D"/>
    <w:rsid w:val="457602B0"/>
    <w:rsid w:val="457D7419"/>
    <w:rsid w:val="45BE6191"/>
    <w:rsid w:val="45BF679F"/>
    <w:rsid w:val="45FE24FC"/>
    <w:rsid w:val="460C5979"/>
    <w:rsid w:val="46AC250E"/>
    <w:rsid w:val="46C56CAD"/>
    <w:rsid w:val="46E90846"/>
    <w:rsid w:val="46FF61C2"/>
    <w:rsid w:val="473430FD"/>
    <w:rsid w:val="4740667C"/>
    <w:rsid w:val="47672D4D"/>
    <w:rsid w:val="4776027E"/>
    <w:rsid w:val="47783DDD"/>
    <w:rsid w:val="47C01792"/>
    <w:rsid w:val="47C215CA"/>
    <w:rsid w:val="47D3679D"/>
    <w:rsid w:val="47DA737E"/>
    <w:rsid w:val="47E73D60"/>
    <w:rsid w:val="47F831A1"/>
    <w:rsid w:val="4808150F"/>
    <w:rsid w:val="482E6C55"/>
    <w:rsid w:val="483841CB"/>
    <w:rsid w:val="48655CDB"/>
    <w:rsid w:val="488A4F97"/>
    <w:rsid w:val="48C169FF"/>
    <w:rsid w:val="48D321B5"/>
    <w:rsid w:val="48DC6BCF"/>
    <w:rsid w:val="4966417F"/>
    <w:rsid w:val="49701211"/>
    <w:rsid w:val="49B751BF"/>
    <w:rsid w:val="49E9233D"/>
    <w:rsid w:val="4A190059"/>
    <w:rsid w:val="4A2324A9"/>
    <w:rsid w:val="4A2C54FD"/>
    <w:rsid w:val="4A3703C6"/>
    <w:rsid w:val="4AA93BAC"/>
    <w:rsid w:val="4AAD1944"/>
    <w:rsid w:val="4AAE33DD"/>
    <w:rsid w:val="4AC31003"/>
    <w:rsid w:val="4AE93159"/>
    <w:rsid w:val="4AF26901"/>
    <w:rsid w:val="4AF8354A"/>
    <w:rsid w:val="4B0B4636"/>
    <w:rsid w:val="4B101FF1"/>
    <w:rsid w:val="4B3B3C56"/>
    <w:rsid w:val="4B6F5171"/>
    <w:rsid w:val="4B894E29"/>
    <w:rsid w:val="4B8A38B7"/>
    <w:rsid w:val="4BD0339A"/>
    <w:rsid w:val="4BE255AD"/>
    <w:rsid w:val="4C154D1E"/>
    <w:rsid w:val="4C1E62FB"/>
    <w:rsid w:val="4C247E4A"/>
    <w:rsid w:val="4C496DB3"/>
    <w:rsid w:val="4C8E2AE9"/>
    <w:rsid w:val="4D2455C6"/>
    <w:rsid w:val="4D462159"/>
    <w:rsid w:val="4D553300"/>
    <w:rsid w:val="4D5C5FAC"/>
    <w:rsid w:val="4D7D6E2D"/>
    <w:rsid w:val="4DA00E6E"/>
    <w:rsid w:val="4DC605B6"/>
    <w:rsid w:val="4DEC0985"/>
    <w:rsid w:val="4DFB4F20"/>
    <w:rsid w:val="4E27683A"/>
    <w:rsid w:val="4EC74CC4"/>
    <w:rsid w:val="4EF32FFF"/>
    <w:rsid w:val="4F232A9C"/>
    <w:rsid w:val="4F2765B1"/>
    <w:rsid w:val="4F285975"/>
    <w:rsid w:val="4F5E2A8B"/>
    <w:rsid w:val="4F8E43A5"/>
    <w:rsid w:val="4FBF79AC"/>
    <w:rsid w:val="4FE30CD5"/>
    <w:rsid w:val="50290C55"/>
    <w:rsid w:val="50520EBB"/>
    <w:rsid w:val="50607024"/>
    <w:rsid w:val="506A4F14"/>
    <w:rsid w:val="50701CEF"/>
    <w:rsid w:val="50751061"/>
    <w:rsid w:val="507C5FAD"/>
    <w:rsid w:val="507E3A43"/>
    <w:rsid w:val="50BE2993"/>
    <w:rsid w:val="50D63702"/>
    <w:rsid w:val="50F12C37"/>
    <w:rsid w:val="51101AA1"/>
    <w:rsid w:val="512F1290"/>
    <w:rsid w:val="515C4409"/>
    <w:rsid w:val="51796EDE"/>
    <w:rsid w:val="51867298"/>
    <w:rsid w:val="518D4602"/>
    <w:rsid w:val="521936F1"/>
    <w:rsid w:val="52195EDF"/>
    <w:rsid w:val="52313387"/>
    <w:rsid w:val="523C02D8"/>
    <w:rsid w:val="52480238"/>
    <w:rsid w:val="525767B4"/>
    <w:rsid w:val="529357CD"/>
    <w:rsid w:val="529526FD"/>
    <w:rsid w:val="52D4333A"/>
    <w:rsid w:val="52E04D27"/>
    <w:rsid w:val="530448FE"/>
    <w:rsid w:val="532E278A"/>
    <w:rsid w:val="53492294"/>
    <w:rsid w:val="539A390F"/>
    <w:rsid w:val="53DB3477"/>
    <w:rsid w:val="54AF6B42"/>
    <w:rsid w:val="54B205EE"/>
    <w:rsid w:val="54E218CB"/>
    <w:rsid w:val="54E44BF8"/>
    <w:rsid w:val="54E80108"/>
    <w:rsid w:val="54FC325C"/>
    <w:rsid w:val="55050D67"/>
    <w:rsid w:val="559C3368"/>
    <w:rsid w:val="55DD6F2A"/>
    <w:rsid w:val="55F72D1E"/>
    <w:rsid w:val="56022FBC"/>
    <w:rsid w:val="562805B1"/>
    <w:rsid w:val="56514CF9"/>
    <w:rsid w:val="56553261"/>
    <w:rsid w:val="565975B0"/>
    <w:rsid w:val="56B41A58"/>
    <w:rsid w:val="56BC356A"/>
    <w:rsid w:val="56D577C5"/>
    <w:rsid w:val="56E23970"/>
    <w:rsid w:val="570856B7"/>
    <w:rsid w:val="573547FD"/>
    <w:rsid w:val="577A3C7D"/>
    <w:rsid w:val="578F220A"/>
    <w:rsid w:val="5798657F"/>
    <w:rsid w:val="57B06157"/>
    <w:rsid w:val="57D503EA"/>
    <w:rsid w:val="57FC07D9"/>
    <w:rsid w:val="58500F22"/>
    <w:rsid w:val="58581669"/>
    <w:rsid w:val="58B82BCC"/>
    <w:rsid w:val="590D1052"/>
    <w:rsid w:val="591C0009"/>
    <w:rsid w:val="593223A7"/>
    <w:rsid w:val="59610A7F"/>
    <w:rsid w:val="59687D7F"/>
    <w:rsid w:val="59912A3B"/>
    <w:rsid w:val="599C51D2"/>
    <w:rsid w:val="59A353EA"/>
    <w:rsid w:val="59A81F44"/>
    <w:rsid w:val="59A95289"/>
    <w:rsid w:val="59AA2571"/>
    <w:rsid w:val="59B15F48"/>
    <w:rsid w:val="59C600B6"/>
    <w:rsid w:val="59D15A81"/>
    <w:rsid w:val="59F13672"/>
    <w:rsid w:val="5A07523D"/>
    <w:rsid w:val="5A2802D2"/>
    <w:rsid w:val="5A553984"/>
    <w:rsid w:val="5ACF0F3A"/>
    <w:rsid w:val="5AD450DC"/>
    <w:rsid w:val="5AEE752B"/>
    <w:rsid w:val="5B7C1136"/>
    <w:rsid w:val="5B7D506F"/>
    <w:rsid w:val="5BD20414"/>
    <w:rsid w:val="5BF54BBF"/>
    <w:rsid w:val="5C6B1600"/>
    <w:rsid w:val="5C8B39C5"/>
    <w:rsid w:val="5C921AD0"/>
    <w:rsid w:val="5CAF7180"/>
    <w:rsid w:val="5CC77483"/>
    <w:rsid w:val="5CCD5BE1"/>
    <w:rsid w:val="5CD94ADB"/>
    <w:rsid w:val="5CE45D66"/>
    <w:rsid w:val="5D182295"/>
    <w:rsid w:val="5D237020"/>
    <w:rsid w:val="5D3D3693"/>
    <w:rsid w:val="5D5F741C"/>
    <w:rsid w:val="5DAE151D"/>
    <w:rsid w:val="5DC07B62"/>
    <w:rsid w:val="5DCD07B3"/>
    <w:rsid w:val="5DFD51DB"/>
    <w:rsid w:val="5E0D36E5"/>
    <w:rsid w:val="5E7510E4"/>
    <w:rsid w:val="5EBD3AB4"/>
    <w:rsid w:val="5ED711BC"/>
    <w:rsid w:val="5F0A3BA8"/>
    <w:rsid w:val="5F1A5A71"/>
    <w:rsid w:val="5F3D3A73"/>
    <w:rsid w:val="5F434754"/>
    <w:rsid w:val="5F9E6C40"/>
    <w:rsid w:val="5FE87018"/>
    <w:rsid w:val="602765D8"/>
    <w:rsid w:val="602F201A"/>
    <w:rsid w:val="605F1B37"/>
    <w:rsid w:val="607C3753"/>
    <w:rsid w:val="609578A8"/>
    <w:rsid w:val="60C30855"/>
    <w:rsid w:val="60CC7FFA"/>
    <w:rsid w:val="610B17E6"/>
    <w:rsid w:val="61421EFD"/>
    <w:rsid w:val="615C2588"/>
    <w:rsid w:val="615C5041"/>
    <w:rsid w:val="61834A51"/>
    <w:rsid w:val="61D705BD"/>
    <w:rsid w:val="61DD59E8"/>
    <w:rsid w:val="61E56B7B"/>
    <w:rsid w:val="62420984"/>
    <w:rsid w:val="626C4E5F"/>
    <w:rsid w:val="6271154E"/>
    <w:rsid w:val="627D0863"/>
    <w:rsid w:val="62B70B91"/>
    <w:rsid w:val="63206216"/>
    <w:rsid w:val="63305DFA"/>
    <w:rsid w:val="634B3A82"/>
    <w:rsid w:val="63523344"/>
    <w:rsid w:val="63560707"/>
    <w:rsid w:val="6357067F"/>
    <w:rsid w:val="63D03DEE"/>
    <w:rsid w:val="63DD6E9C"/>
    <w:rsid w:val="641A2384"/>
    <w:rsid w:val="642167EE"/>
    <w:rsid w:val="64CB6601"/>
    <w:rsid w:val="64EF3666"/>
    <w:rsid w:val="64FC1880"/>
    <w:rsid w:val="65094EFF"/>
    <w:rsid w:val="651B3798"/>
    <w:rsid w:val="65370CD5"/>
    <w:rsid w:val="655D49E9"/>
    <w:rsid w:val="65847BBF"/>
    <w:rsid w:val="65B57404"/>
    <w:rsid w:val="65B93A8D"/>
    <w:rsid w:val="65CA1E2C"/>
    <w:rsid w:val="65D975AE"/>
    <w:rsid w:val="661746DD"/>
    <w:rsid w:val="664805B8"/>
    <w:rsid w:val="665E34DC"/>
    <w:rsid w:val="66C053F3"/>
    <w:rsid w:val="66CD03F2"/>
    <w:rsid w:val="66D221EE"/>
    <w:rsid w:val="66DA55D7"/>
    <w:rsid w:val="66F82180"/>
    <w:rsid w:val="670F41E0"/>
    <w:rsid w:val="677D25E8"/>
    <w:rsid w:val="677D265C"/>
    <w:rsid w:val="678A787F"/>
    <w:rsid w:val="67AD6B3A"/>
    <w:rsid w:val="67BD0300"/>
    <w:rsid w:val="67D325C4"/>
    <w:rsid w:val="68031C5B"/>
    <w:rsid w:val="682616B3"/>
    <w:rsid w:val="682A4EAB"/>
    <w:rsid w:val="68316174"/>
    <w:rsid w:val="684D34F9"/>
    <w:rsid w:val="68F533A3"/>
    <w:rsid w:val="690453B7"/>
    <w:rsid w:val="690B53E9"/>
    <w:rsid w:val="690F418B"/>
    <w:rsid w:val="699323D6"/>
    <w:rsid w:val="69B32313"/>
    <w:rsid w:val="69CE4429"/>
    <w:rsid w:val="6A007B68"/>
    <w:rsid w:val="6A0409C8"/>
    <w:rsid w:val="6A700D2B"/>
    <w:rsid w:val="6A741183"/>
    <w:rsid w:val="6A7A2736"/>
    <w:rsid w:val="6A7B4B9C"/>
    <w:rsid w:val="6AA651A8"/>
    <w:rsid w:val="6AEB121D"/>
    <w:rsid w:val="6AFB78C4"/>
    <w:rsid w:val="6B004CFA"/>
    <w:rsid w:val="6B120A68"/>
    <w:rsid w:val="6B586E1F"/>
    <w:rsid w:val="6BAF5652"/>
    <w:rsid w:val="6C6F4FDA"/>
    <w:rsid w:val="6C89456C"/>
    <w:rsid w:val="6CA35C83"/>
    <w:rsid w:val="6CA52710"/>
    <w:rsid w:val="6CAC58B4"/>
    <w:rsid w:val="6D4A2539"/>
    <w:rsid w:val="6D572C9F"/>
    <w:rsid w:val="6D97094D"/>
    <w:rsid w:val="6DAE632B"/>
    <w:rsid w:val="6DF009F6"/>
    <w:rsid w:val="6E217EA6"/>
    <w:rsid w:val="6E2666BC"/>
    <w:rsid w:val="6E2F175D"/>
    <w:rsid w:val="6E605E8D"/>
    <w:rsid w:val="6E8959F5"/>
    <w:rsid w:val="6EBC6999"/>
    <w:rsid w:val="6EDF5FC3"/>
    <w:rsid w:val="6EF90D33"/>
    <w:rsid w:val="6F3F60AD"/>
    <w:rsid w:val="6F7A5D4F"/>
    <w:rsid w:val="6F83312B"/>
    <w:rsid w:val="6F901B66"/>
    <w:rsid w:val="6FA629D4"/>
    <w:rsid w:val="6FA70F58"/>
    <w:rsid w:val="6FD10552"/>
    <w:rsid w:val="6FFA3C1B"/>
    <w:rsid w:val="70014D67"/>
    <w:rsid w:val="70117B8A"/>
    <w:rsid w:val="70360B36"/>
    <w:rsid w:val="704F39D7"/>
    <w:rsid w:val="709E0125"/>
    <w:rsid w:val="70BB2EF0"/>
    <w:rsid w:val="70CC6A1F"/>
    <w:rsid w:val="70CE0A84"/>
    <w:rsid w:val="70E10DC3"/>
    <w:rsid w:val="70F054AD"/>
    <w:rsid w:val="71095983"/>
    <w:rsid w:val="712D59A6"/>
    <w:rsid w:val="71402F8B"/>
    <w:rsid w:val="71475ADB"/>
    <w:rsid w:val="717140CF"/>
    <w:rsid w:val="718F10F7"/>
    <w:rsid w:val="71D55C91"/>
    <w:rsid w:val="71DE13EC"/>
    <w:rsid w:val="722B37CD"/>
    <w:rsid w:val="72305A9A"/>
    <w:rsid w:val="72427DB1"/>
    <w:rsid w:val="726B260D"/>
    <w:rsid w:val="73287A23"/>
    <w:rsid w:val="7331324E"/>
    <w:rsid w:val="733946CF"/>
    <w:rsid w:val="73455C21"/>
    <w:rsid w:val="73710635"/>
    <w:rsid w:val="73BF03A5"/>
    <w:rsid w:val="73D425F7"/>
    <w:rsid w:val="73D6575A"/>
    <w:rsid w:val="73E636C1"/>
    <w:rsid w:val="74600E53"/>
    <w:rsid w:val="746A0CB1"/>
    <w:rsid w:val="74712AFB"/>
    <w:rsid w:val="74994192"/>
    <w:rsid w:val="74A31B48"/>
    <w:rsid w:val="74AD4F44"/>
    <w:rsid w:val="74BC1C78"/>
    <w:rsid w:val="750A2023"/>
    <w:rsid w:val="75171C24"/>
    <w:rsid w:val="75486E94"/>
    <w:rsid w:val="758D04C2"/>
    <w:rsid w:val="75AD0CCB"/>
    <w:rsid w:val="75E4396D"/>
    <w:rsid w:val="75F020A1"/>
    <w:rsid w:val="7615032B"/>
    <w:rsid w:val="76655349"/>
    <w:rsid w:val="7676736A"/>
    <w:rsid w:val="768F29EE"/>
    <w:rsid w:val="76926203"/>
    <w:rsid w:val="76933951"/>
    <w:rsid w:val="771D661B"/>
    <w:rsid w:val="771F7714"/>
    <w:rsid w:val="77207795"/>
    <w:rsid w:val="773903BD"/>
    <w:rsid w:val="773F662A"/>
    <w:rsid w:val="77617342"/>
    <w:rsid w:val="77890DAA"/>
    <w:rsid w:val="77D835AD"/>
    <w:rsid w:val="77EE2F48"/>
    <w:rsid w:val="77F10205"/>
    <w:rsid w:val="784E332E"/>
    <w:rsid w:val="78782A0D"/>
    <w:rsid w:val="78C57EA9"/>
    <w:rsid w:val="791A571A"/>
    <w:rsid w:val="79286132"/>
    <w:rsid w:val="797E392B"/>
    <w:rsid w:val="79A2171F"/>
    <w:rsid w:val="79A252FF"/>
    <w:rsid w:val="79D33056"/>
    <w:rsid w:val="79E119BE"/>
    <w:rsid w:val="79E65B55"/>
    <w:rsid w:val="79E76BC3"/>
    <w:rsid w:val="7A0131C9"/>
    <w:rsid w:val="7A0E722C"/>
    <w:rsid w:val="7A124C14"/>
    <w:rsid w:val="7A475E69"/>
    <w:rsid w:val="7A810C37"/>
    <w:rsid w:val="7ABB10EE"/>
    <w:rsid w:val="7B105707"/>
    <w:rsid w:val="7B302E56"/>
    <w:rsid w:val="7B350C9D"/>
    <w:rsid w:val="7B7D36B3"/>
    <w:rsid w:val="7B9741C7"/>
    <w:rsid w:val="7BD27B88"/>
    <w:rsid w:val="7C0A1E29"/>
    <w:rsid w:val="7C1E1AF3"/>
    <w:rsid w:val="7C26369C"/>
    <w:rsid w:val="7C311CA7"/>
    <w:rsid w:val="7C3933DF"/>
    <w:rsid w:val="7C4A37AF"/>
    <w:rsid w:val="7C590E02"/>
    <w:rsid w:val="7C9E5A24"/>
    <w:rsid w:val="7CAC00CB"/>
    <w:rsid w:val="7CBE2557"/>
    <w:rsid w:val="7CE73C35"/>
    <w:rsid w:val="7D022178"/>
    <w:rsid w:val="7D575412"/>
    <w:rsid w:val="7D62117D"/>
    <w:rsid w:val="7D7E5CB0"/>
    <w:rsid w:val="7D83197B"/>
    <w:rsid w:val="7DB3208B"/>
    <w:rsid w:val="7DB5193A"/>
    <w:rsid w:val="7DB54254"/>
    <w:rsid w:val="7E181D7D"/>
    <w:rsid w:val="7E2118A1"/>
    <w:rsid w:val="7E3E1EF2"/>
    <w:rsid w:val="7E4B337A"/>
    <w:rsid w:val="7E5E744E"/>
    <w:rsid w:val="7E951513"/>
    <w:rsid w:val="7EA96AC5"/>
    <w:rsid w:val="7EB06086"/>
    <w:rsid w:val="7EC118B4"/>
    <w:rsid w:val="7EC83404"/>
    <w:rsid w:val="7ED01B68"/>
    <w:rsid w:val="7EF74FC9"/>
    <w:rsid w:val="7F3745CA"/>
    <w:rsid w:val="7F5A59DA"/>
    <w:rsid w:val="7F653669"/>
    <w:rsid w:val="7F750737"/>
    <w:rsid w:val="7F846976"/>
    <w:rsid w:val="7FA01201"/>
    <w:rsid w:val="7FB901DB"/>
    <w:rsid w:val="7FBB72CB"/>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F10B96-FD03-4FB2-B724-DD413540E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style>
  <w:style w:type="paragraph" w:styleId="a4">
    <w:name w:val="Body Text"/>
    <w:basedOn w:val="a"/>
    <w:qFormat/>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5">
    <w:name w:val="Balloon Text"/>
    <w:basedOn w:val="a"/>
    <w:link w:val="Char0"/>
    <w:uiPriority w:val="99"/>
    <w:semiHidden/>
    <w:unhideWhenUsed/>
    <w:qFormat/>
    <w:pPr>
      <w:spacing w:before="0" w:after="0" w:line="240" w:lineRule="auto"/>
    </w:pPr>
    <w:rPr>
      <w:rFonts w:ascii="Microsoft YaHei UI" w:eastAsia="Microsoft YaHei UI"/>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link w:val="Char1"/>
    <w:semiHidden/>
    <w:qFormat/>
    <w:pPr>
      <w:tabs>
        <w:tab w:val="center" w:pos="4680"/>
        <w:tab w:val="right" w:pos="9360"/>
      </w:tabs>
      <w:spacing w:before="0" w:after="0" w:line="240" w:lineRule="auto"/>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8">
    <w:name w:val="List"/>
    <w:basedOn w:val="a"/>
    <w:qFormat/>
    <w:pPr>
      <w:ind w:left="568" w:hanging="284"/>
    </w:pPr>
  </w:style>
  <w:style w:type="paragraph" w:styleId="a9">
    <w:name w:val="table of figures"/>
    <w:basedOn w:val="a"/>
    <w:next w:val="a"/>
    <w:uiPriority w:val="99"/>
    <w:semiHidden/>
    <w:unhideWhenUsed/>
    <w:qFormat/>
    <w:pPr>
      <w:ind w:leftChars="200" w:left="200" w:hangingChars="200" w:hanging="200"/>
    </w:pPr>
  </w:style>
  <w:style w:type="paragraph" w:styleId="20">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a">
    <w:name w:val="Normal (Web)"/>
    <w:basedOn w:val="a"/>
    <w:uiPriority w:val="99"/>
    <w:unhideWhenUsed/>
    <w:qFormat/>
    <w:pPr>
      <w:spacing w:after="0"/>
      <w:jc w:val="left"/>
    </w:pPr>
    <w:rPr>
      <w:rFonts w:ascii="宋体" w:hAnsi="宋体" w:cs="宋体"/>
      <w:sz w:val="24"/>
      <w:szCs w:val="24"/>
    </w:rPr>
  </w:style>
  <w:style w:type="paragraph" w:styleId="ab">
    <w:name w:val="annotation subject"/>
    <w:basedOn w:val="a3"/>
    <w:next w:val="a3"/>
    <w:link w:val="Char2"/>
    <w:uiPriority w:val="99"/>
    <w:semiHidden/>
    <w:unhideWhenUsed/>
    <w:qFormat/>
    <w:pPr>
      <w:spacing w:line="240" w:lineRule="auto"/>
    </w:pPr>
    <w:rPr>
      <w:b/>
      <w:bCs/>
      <w:sz w:val="20"/>
    </w:rPr>
  </w:style>
  <w:style w:type="table" w:styleId="ac">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99"/>
    <w:qFormat/>
    <w:rPr>
      <w:b/>
      <w:sz w:val="20"/>
      <w:szCs w:val="20"/>
      <w:shd w:val="clear" w:color="auto" w:fill="00A65A"/>
    </w:rPr>
  </w:style>
  <w:style w:type="character" w:styleId="ae">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hd w:val="clear" w:color="auto" w:fill="FFFFFF"/>
    </w:rPr>
  </w:style>
  <w:style w:type="character" w:styleId="af">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0">
    <w:name w:val="annotation reference"/>
    <w:basedOn w:val="a0"/>
    <w:uiPriority w:val="99"/>
    <w:semiHidden/>
    <w:unhideWhenUsed/>
    <w:qFormat/>
    <w:rPr>
      <w:sz w:val="16"/>
      <w:szCs w:val="16"/>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1">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character" w:customStyle="1" w:styleId="apple-converted-space">
    <w:name w:val="apple-converted-space"/>
    <w:basedOn w:val="a0"/>
    <w:qFormat/>
  </w:style>
  <w:style w:type="character" w:customStyle="1" w:styleId="Char0">
    <w:name w:val="批注框文本 Char"/>
    <w:basedOn w:val="a0"/>
    <w:link w:val="a5"/>
    <w:uiPriority w:val="99"/>
    <w:semiHidden/>
    <w:qFormat/>
    <w:rPr>
      <w:rFonts w:ascii="Microsoft YaHei UI" w:eastAsia="Microsoft YaHei UI"/>
      <w:kern w:val="2"/>
      <w:sz w:val="18"/>
      <w:szCs w:val="18"/>
    </w:rPr>
  </w:style>
  <w:style w:type="character" w:customStyle="1" w:styleId="Char">
    <w:name w:val="批注文字 Char"/>
    <w:basedOn w:val="a0"/>
    <w:link w:val="a3"/>
    <w:semiHidden/>
    <w:qFormat/>
    <w:rPr>
      <w:kern w:val="2"/>
      <w:sz w:val="21"/>
    </w:rPr>
  </w:style>
  <w:style w:type="character" w:customStyle="1" w:styleId="Char2">
    <w:name w:val="批注主题 Char"/>
    <w:basedOn w:val="Char"/>
    <w:link w:val="ab"/>
    <w:uiPriority w:val="99"/>
    <w:semiHidden/>
    <w:qFormat/>
    <w:rPr>
      <w:b/>
      <w:bCs/>
      <w:kern w:val="2"/>
      <w:sz w:val="21"/>
    </w:rPr>
  </w:style>
  <w:style w:type="character" w:customStyle="1" w:styleId="Char1">
    <w:name w:val="页眉 Char"/>
    <w:basedOn w:val="a0"/>
    <w:link w:val="a7"/>
    <w:semiHidden/>
    <w:qFormat/>
    <w:rPr>
      <w:kern w:val="2"/>
      <w:sz w:val="21"/>
    </w:rPr>
  </w:style>
  <w:style w:type="character" w:customStyle="1" w:styleId="badge58">
    <w:name w:val="badge58"/>
    <w:basedOn w:val="a0"/>
    <w:qFormat/>
    <w:rPr>
      <w:b/>
      <w:color w:val="FFFFFF"/>
      <w:sz w:val="24"/>
      <w:szCs w:val="24"/>
      <w:shd w:val="clear" w:color="auto" w:fill="001F3F"/>
    </w:rPr>
  </w:style>
  <w:style w:type="character" w:customStyle="1" w:styleId="hover16">
    <w:name w:val="hover16"/>
    <w:basedOn w:val="a0"/>
    <w:qFormat/>
    <w:rPr>
      <w:shd w:val="clear" w:color="auto" w:fill="EEEEEE"/>
    </w:rPr>
  </w:style>
  <w:style w:type="character" w:customStyle="1" w:styleId="active3">
    <w:name w:val="active3"/>
    <w:basedOn w:val="a0"/>
    <w:qFormat/>
    <w:rPr>
      <w:color w:val="FFFFFF"/>
      <w:shd w:val="clear" w:color="auto" w:fill="006DCC"/>
    </w:rPr>
  </w:style>
  <w:style w:type="character" w:customStyle="1" w:styleId="old">
    <w:name w:val="old"/>
    <w:basedOn w:val="a0"/>
    <w:qFormat/>
    <w:rPr>
      <w:color w:val="999999"/>
    </w:rPr>
  </w:style>
  <w:style w:type="character" w:customStyle="1" w:styleId="via1">
    <w:name w:val="via1"/>
    <w:basedOn w:val="a0"/>
    <w:qFormat/>
    <w:rPr>
      <w:color w:val="959595"/>
    </w:rPr>
  </w:style>
  <w:style w:type="character" w:customStyle="1" w:styleId="keyword1">
    <w:name w:val="keyword1"/>
    <w:basedOn w:val="a0"/>
    <w:qFormat/>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character" w:customStyle="1" w:styleId="badge56">
    <w:name w:val="badge56"/>
    <w:basedOn w:val="a0"/>
    <w:qFormat/>
    <w:rPr>
      <w:b/>
      <w:color w:val="FFFFFF"/>
      <w:sz w:val="24"/>
      <w:szCs w:val="24"/>
      <w:shd w:val="clear" w:color="auto" w:fill="001F3F"/>
    </w:rPr>
  </w:style>
  <w:style w:type="character" w:customStyle="1" w:styleId="hover14">
    <w:name w:val="hover14"/>
    <w:basedOn w:val="a0"/>
    <w:qFormat/>
    <w:rPr>
      <w:shd w:val="clear" w:color="auto" w:fill="EEEEEE"/>
    </w:rPr>
  </w:style>
  <w:style w:type="paragraph" w:customStyle="1" w:styleId="12">
    <w:name w:val="修订1"/>
    <w:hidden/>
    <w:uiPriority w:val="99"/>
    <w:semiHidden/>
    <w:qFormat/>
    <w:pPr>
      <w:spacing w:after="0" w:line="240" w:lineRule="auto"/>
    </w:pPr>
    <w:rPr>
      <w:kern w:val="2"/>
      <w:sz w:val="21"/>
    </w:rPr>
  </w:style>
  <w:style w:type="character" w:customStyle="1" w:styleId="hover15">
    <w:name w:val="hover15"/>
    <w:basedOn w:val="a0"/>
    <w:qFormat/>
    <w:rPr>
      <w:shd w:val="clear" w:color="auto" w:fill="EEEEEE"/>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rPr>
  </w:style>
  <w:style w:type="character" w:customStyle="1" w:styleId="hover">
    <w:name w:val="hover"/>
    <w:basedOn w:val="a0"/>
    <w:qFormat/>
    <w:rPr>
      <w:shd w:val="clear" w:color="auto" w:fill="EEEEEE"/>
    </w:rPr>
  </w:style>
  <w:style w:type="paragraph" w:customStyle="1" w:styleId="TAL">
    <w:name w:val="TAL"/>
    <w:basedOn w:val="a"/>
    <w:qFormat/>
    <w:pPr>
      <w:keepNext/>
      <w:keepLines/>
      <w:spacing w:after="0"/>
    </w:pPr>
    <w:rPr>
      <w:rFonts w:ascii="Arial" w:hAnsi="Arial"/>
      <w:sz w:val="18"/>
    </w:rPr>
  </w:style>
  <w:style w:type="character" w:customStyle="1" w:styleId="badge55">
    <w:name w:val="badge55"/>
    <w:basedOn w:val="a0"/>
    <w:qFormat/>
    <w:rPr>
      <w:b/>
      <w:color w:val="FFFFFF"/>
      <w:sz w:val="24"/>
      <w:szCs w:val="24"/>
      <w:shd w:val="clear" w:color="auto" w:fill="001F3F"/>
    </w:rPr>
  </w:style>
  <w:style w:type="character" w:customStyle="1" w:styleId="active">
    <w:name w:val="active"/>
    <w:basedOn w:val="a0"/>
    <w:qFormat/>
    <w:rPr>
      <w:color w:val="FFFFFF"/>
      <w:shd w:val="clear" w:color="auto" w:fill="006DCC"/>
    </w:rPr>
  </w:style>
  <w:style w:type="character" w:customStyle="1" w:styleId="badge">
    <w:name w:val="badge"/>
    <w:basedOn w:val="a0"/>
    <w:qFormat/>
    <w:rPr>
      <w:b/>
      <w:color w:val="FFFFFF"/>
      <w:sz w:val="24"/>
      <w:szCs w:val="24"/>
      <w:shd w:val="clear" w:color="auto" w:fill="001F3F"/>
    </w:rPr>
  </w:style>
  <w:style w:type="paragraph" w:customStyle="1" w:styleId="B1">
    <w:name w:val="B1"/>
    <w:basedOn w:val="a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7995A2-F2AD-486D-8884-C672953CD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2654</Words>
  <Characters>15128</Characters>
  <Application>Microsoft Office Word</Application>
  <DocSecurity>0</DocSecurity>
  <Lines>126</Lines>
  <Paragraphs>35</Paragraphs>
  <ScaleCrop>false</ScaleCrop>
  <Company/>
  <LinksUpToDate>false</LinksUpToDate>
  <CharactersWithSpaces>17747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ZTE,Mengzhu</cp:lastModifiedBy>
  <cp:revision>161</cp:revision>
  <dcterms:created xsi:type="dcterms:W3CDTF">2019-04-08T03:09:00Z</dcterms:created>
  <dcterms:modified xsi:type="dcterms:W3CDTF">2021-10-02T01:18:00Z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